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D013" w14:textId="5AF5C542" w:rsidR="00A54991" w:rsidRPr="00EB5AEF" w:rsidRDefault="00A5499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893E02">
        <w:rPr>
          <w:rFonts w:ascii="Tahoma" w:hAnsi="Tahoma" w:cs="Tahoma"/>
          <w:sz w:val="24"/>
          <w:szCs w:val="24"/>
        </w:rPr>
        <w:t xml:space="preserve"> O DÍLO</w:t>
      </w:r>
      <w:r w:rsidR="00080BAF">
        <w:rPr>
          <w:rFonts w:ascii="Tahoma" w:hAnsi="Tahoma" w:cs="Tahoma"/>
          <w:sz w:val="24"/>
          <w:szCs w:val="24"/>
        </w:rPr>
        <w:br/>
      </w: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a </w:t>
      </w:r>
      <w:r w:rsidR="00D1279F" w:rsidRPr="00EB5AEF">
        <w:rPr>
          <w:rFonts w:ascii="Tahoma" w:hAnsi="Tahoma" w:cs="Tahoma"/>
          <w:sz w:val="24"/>
          <w:szCs w:val="24"/>
        </w:rPr>
        <w:t xml:space="preserve">výkon </w:t>
      </w:r>
      <w:r w:rsidR="00AE4E91" w:rsidRPr="00EB5AEF">
        <w:rPr>
          <w:rFonts w:ascii="Tahoma" w:hAnsi="Tahoma" w:cs="Tahoma"/>
          <w:sz w:val="24"/>
          <w:szCs w:val="24"/>
        </w:rPr>
        <w:t>autorsk</w:t>
      </w:r>
      <w:r w:rsidR="00D1279F" w:rsidRPr="00EB5AEF">
        <w:rPr>
          <w:rFonts w:ascii="Tahoma" w:hAnsi="Tahoma" w:cs="Tahoma"/>
          <w:sz w:val="24"/>
          <w:szCs w:val="24"/>
        </w:rPr>
        <w:t xml:space="preserve">ého </w:t>
      </w:r>
      <w:r w:rsidRPr="00EB5AEF">
        <w:rPr>
          <w:rFonts w:ascii="Tahoma" w:hAnsi="Tahoma" w:cs="Tahoma"/>
          <w:sz w:val="24"/>
          <w:szCs w:val="24"/>
        </w:rPr>
        <w:t>dozor</w:t>
      </w:r>
      <w:r w:rsidR="00D1279F" w:rsidRPr="00EB5AEF">
        <w:rPr>
          <w:rFonts w:ascii="Tahoma" w:hAnsi="Tahoma" w:cs="Tahoma"/>
          <w:sz w:val="24"/>
          <w:szCs w:val="24"/>
        </w:rPr>
        <w:t>u</w:t>
      </w: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C25186D" w14:textId="00764293" w:rsidR="00A54991" w:rsidRPr="009C49D6" w:rsidRDefault="009C49D6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C49D6">
        <w:rPr>
          <w:rFonts w:ascii="Tahoma" w:hAnsi="Tahoma" w:cs="Tahoma"/>
          <w:b/>
          <w:sz w:val="22"/>
          <w:szCs w:val="22"/>
        </w:rPr>
        <w:t xml:space="preserve">Matiční gymnázium, Ostrava, </w:t>
      </w:r>
      <w:r w:rsidR="002A0361" w:rsidRPr="009C49D6">
        <w:rPr>
          <w:rFonts w:ascii="Tahoma" w:hAnsi="Tahoma" w:cs="Tahoma"/>
          <w:b/>
          <w:sz w:val="22"/>
          <w:szCs w:val="22"/>
        </w:rPr>
        <w:t>příspěvkov</w:t>
      </w:r>
      <w:r w:rsidRPr="009C49D6">
        <w:rPr>
          <w:rFonts w:ascii="Tahoma" w:hAnsi="Tahoma" w:cs="Tahoma"/>
          <w:b/>
          <w:sz w:val="22"/>
          <w:szCs w:val="22"/>
        </w:rPr>
        <w:t>á</w:t>
      </w:r>
      <w:r w:rsidR="002A0361" w:rsidRPr="009C49D6">
        <w:rPr>
          <w:rFonts w:ascii="Tahoma" w:hAnsi="Tahoma" w:cs="Tahoma"/>
          <w:b/>
          <w:sz w:val="22"/>
          <w:szCs w:val="22"/>
        </w:rPr>
        <w:t xml:space="preserve"> organizace</w:t>
      </w:r>
    </w:p>
    <w:p w14:paraId="4626E830" w14:textId="21206180" w:rsidR="00A5499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s</w:t>
      </w:r>
      <w:r w:rsidR="00A54991" w:rsidRPr="009C49D6">
        <w:rPr>
          <w:rFonts w:ascii="Tahoma" w:hAnsi="Tahoma" w:cs="Tahoma"/>
          <w:sz w:val="22"/>
          <w:szCs w:val="22"/>
        </w:rPr>
        <w:t>e sídlem:</w:t>
      </w:r>
      <w:r w:rsidR="009C49D6" w:rsidRPr="009C49D6">
        <w:rPr>
          <w:rFonts w:ascii="Tahoma" w:hAnsi="Tahoma" w:cs="Tahoma"/>
          <w:sz w:val="22"/>
          <w:szCs w:val="22"/>
        </w:rPr>
        <w:t xml:space="preserve"> Dr. Šmerala 2565/25, 702 00 Ostrava</w:t>
      </w:r>
      <w:r w:rsidR="00A54991" w:rsidRPr="009C49D6">
        <w:rPr>
          <w:rFonts w:ascii="Tahoma" w:hAnsi="Tahoma" w:cs="Tahoma"/>
          <w:sz w:val="22"/>
          <w:szCs w:val="22"/>
        </w:rPr>
        <w:tab/>
      </w:r>
    </w:p>
    <w:p w14:paraId="678346D2" w14:textId="1B7FEC5B" w:rsidR="002A036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z</w:t>
      </w:r>
      <w:r w:rsidR="00A54991" w:rsidRPr="009C49D6">
        <w:rPr>
          <w:rFonts w:ascii="Tahoma" w:hAnsi="Tahoma" w:cs="Tahoma"/>
          <w:sz w:val="22"/>
          <w:szCs w:val="22"/>
        </w:rPr>
        <w:t>astoupen</w:t>
      </w:r>
      <w:r w:rsidR="009C49D6">
        <w:rPr>
          <w:rFonts w:ascii="Tahoma" w:hAnsi="Tahoma" w:cs="Tahoma"/>
          <w:sz w:val="22"/>
          <w:szCs w:val="22"/>
        </w:rPr>
        <w:t>a</w:t>
      </w:r>
      <w:r w:rsidR="00A54991" w:rsidRPr="009C49D6">
        <w:rPr>
          <w:rFonts w:ascii="Tahoma" w:hAnsi="Tahoma" w:cs="Tahoma"/>
          <w:sz w:val="22"/>
          <w:szCs w:val="22"/>
        </w:rPr>
        <w:t>:</w:t>
      </w:r>
      <w:r w:rsidR="009C49D6" w:rsidRPr="009C49D6">
        <w:rPr>
          <w:rFonts w:ascii="Tahoma" w:hAnsi="Tahoma" w:cs="Tahoma"/>
          <w:sz w:val="22"/>
          <w:szCs w:val="22"/>
        </w:rPr>
        <w:t xml:space="preserve"> Mgr. Ladislav</w:t>
      </w:r>
      <w:r w:rsidR="009C49D6">
        <w:rPr>
          <w:rFonts w:ascii="Tahoma" w:hAnsi="Tahoma" w:cs="Tahoma"/>
          <w:sz w:val="22"/>
          <w:szCs w:val="22"/>
        </w:rPr>
        <w:t>em</w:t>
      </w:r>
      <w:r w:rsidR="009C49D6" w:rsidRPr="009C49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49D6" w:rsidRPr="009C49D6">
        <w:rPr>
          <w:rFonts w:ascii="Tahoma" w:hAnsi="Tahoma" w:cs="Tahoma"/>
          <w:sz w:val="22"/>
          <w:szCs w:val="22"/>
        </w:rPr>
        <w:t>Vasevič</w:t>
      </w:r>
      <w:r w:rsidR="009C49D6">
        <w:rPr>
          <w:rFonts w:ascii="Tahoma" w:hAnsi="Tahoma" w:cs="Tahoma"/>
          <w:sz w:val="22"/>
          <w:szCs w:val="22"/>
        </w:rPr>
        <w:t>em</w:t>
      </w:r>
      <w:proofErr w:type="spellEnd"/>
      <w:r w:rsidR="009C49D6" w:rsidRPr="009C49D6">
        <w:rPr>
          <w:rFonts w:ascii="Tahoma" w:hAnsi="Tahoma" w:cs="Tahoma"/>
          <w:sz w:val="22"/>
          <w:szCs w:val="22"/>
        </w:rPr>
        <w:t>, ředitelem</w:t>
      </w:r>
    </w:p>
    <w:p w14:paraId="5DA64411" w14:textId="56BB8464" w:rsidR="00A54991" w:rsidRPr="009C49D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4E8E16B8" w14:textId="325885E1" w:rsidR="00A54991" w:rsidRPr="009C49D6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IČ</w:t>
      </w:r>
      <w:r w:rsidR="00CB7AE0" w:rsidRPr="009C49D6">
        <w:rPr>
          <w:rFonts w:ascii="Tahoma" w:hAnsi="Tahoma" w:cs="Tahoma"/>
          <w:sz w:val="22"/>
          <w:szCs w:val="22"/>
        </w:rPr>
        <w:t>O</w:t>
      </w:r>
      <w:r w:rsidRPr="009C49D6">
        <w:rPr>
          <w:rFonts w:ascii="Tahoma" w:hAnsi="Tahoma" w:cs="Tahoma"/>
          <w:sz w:val="22"/>
          <w:szCs w:val="22"/>
        </w:rPr>
        <w:t>:</w:t>
      </w:r>
      <w:r w:rsidR="009C49D6">
        <w:rPr>
          <w:rFonts w:ascii="Tahoma" w:hAnsi="Tahoma" w:cs="Tahoma"/>
          <w:sz w:val="22"/>
          <w:szCs w:val="22"/>
        </w:rPr>
        <w:t xml:space="preserve"> 00842761</w:t>
      </w:r>
      <w:r w:rsidRPr="009C49D6">
        <w:rPr>
          <w:rFonts w:ascii="Tahoma" w:hAnsi="Tahoma" w:cs="Tahoma"/>
          <w:sz w:val="22"/>
          <w:szCs w:val="22"/>
        </w:rPr>
        <w:tab/>
      </w:r>
    </w:p>
    <w:p w14:paraId="3C0A62D1" w14:textId="6AC55415" w:rsidR="00A5499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DIČ:</w:t>
      </w:r>
      <w:r w:rsidR="009C49D6">
        <w:rPr>
          <w:rFonts w:ascii="Tahoma" w:hAnsi="Tahoma" w:cs="Tahoma"/>
          <w:sz w:val="22"/>
          <w:szCs w:val="22"/>
        </w:rPr>
        <w:t xml:space="preserve"> neplátce DPH</w:t>
      </w:r>
      <w:r w:rsidRPr="009C49D6">
        <w:rPr>
          <w:rFonts w:ascii="Tahoma" w:hAnsi="Tahoma" w:cs="Tahoma"/>
          <w:sz w:val="22"/>
          <w:szCs w:val="22"/>
        </w:rPr>
        <w:tab/>
      </w:r>
    </w:p>
    <w:p w14:paraId="757DBAD3" w14:textId="6CE5ABB9" w:rsidR="00A5499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b</w:t>
      </w:r>
      <w:r w:rsidR="009C49D6">
        <w:rPr>
          <w:rFonts w:ascii="Tahoma" w:hAnsi="Tahoma" w:cs="Tahoma"/>
          <w:sz w:val="22"/>
          <w:szCs w:val="22"/>
        </w:rPr>
        <w:t>ankovní spojení: Komerční banka, a.s.</w:t>
      </w:r>
      <w:r w:rsidR="00A54991" w:rsidRPr="009C49D6">
        <w:rPr>
          <w:rFonts w:ascii="Tahoma" w:hAnsi="Tahoma" w:cs="Tahoma"/>
          <w:sz w:val="22"/>
          <w:szCs w:val="22"/>
        </w:rPr>
        <w:tab/>
      </w:r>
    </w:p>
    <w:p w14:paraId="4E6752FE" w14:textId="6ABDBE4D" w:rsidR="002A036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č</w:t>
      </w:r>
      <w:r w:rsidR="00A54991" w:rsidRPr="009C49D6">
        <w:rPr>
          <w:rFonts w:ascii="Tahoma" w:hAnsi="Tahoma" w:cs="Tahoma"/>
          <w:sz w:val="22"/>
          <w:szCs w:val="22"/>
        </w:rPr>
        <w:t>íslo účtu:</w:t>
      </w:r>
      <w:r w:rsidR="009C49D6">
        <w:rPr>
          <w:rFonts w:ascii="Tahoma" w:hAnsi="Tahoma" w:cs="Tahoma"/>
          <w:sz w:val="22"/>
          <w:szCs w:val="22"/>
        </w:rPr>
        <w:t xml:space="preserve"> 8036761/0100</w:t>
      </w:r>
    </w:p>
    <w:p w14:paraId="347DB59B" w14:textId="67828DC6" w:rsidR="002A0361" w:rsidRPr="009C49D6" w:rsidRDefault="002A0361" w:rsidP="009C49D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Osoba oprávněná jednat ve věcech technických:</w:t>
      </w:r>
      <w:r w:rsidR="009C49D6">
        <w:rPr>
          <w:rFonts w:ascii="Tahoma" w:hAnsi="Tahoma" w:cs="Tahoma"/>
          <w:sz w:val="22"/>
          <w:szCs w:val="22"/>
        </w:rPr>
        <w:t xml:space="preserve"> Mgr. Ladislav </w:t>
      </w:r>
      <w:proofErr w:type="spellStart"/>
      <w:r w:rsidR="009C49D6">
        <w:rPr>
          <w:rFonts w:ascii="Tahoma" w:hAnsi="Tahoma" w:cs="Tahoma"/>
          <w:sz w:val="22"/>
          <w:szCs w:val="22"/>
        </w:rPr>
        <w:t>Vasevič</w:t>
      </w:r>
      <w:proofErr w:type="spellEnd"/>
      <w:r w:rsidR="009C49D6">
        <w:rPr>
          <w:rFonts w:ascii="Tahoma" w:hAnsi="Tahoma" w:cs="Tahoma"/>
          <w:sz w:val="22"/>
          <w:szCs w:val="22"/>
        </w:rPr>
        <w:t>,</w:t>
      </w:r>
      <w:r w:rsidRPr="009C49D6">
        <w:rPr>
          <w:rFonts w:ascii="Tahoma" w:hAnsi="Tahoma" w:cs="Tahoma"/>
          <w:sz w:val="22"/>
          <w:szCs w:val="22"/>
        </w:rPr>
        <w:t xml:space="preserve"> tel.: </w:t>
      </w:r>
      <w:r w:rsidR="009C49D6">
        <w:rPr>
          <w:rFonts w:ascii="Tahoma" w:hAnsi="Tahoma" w:cs="Tahoma"/>
          <w:sz w:val="22"/>
          <w:szCs w:val="22"/>
        </w:rPr>
        <w:t>596 118 877</w:t>
      </w:r>
      <w:r w:rsidRPr="009C49D6">
        <w:rPr>
          <w:rFonts w:ascii="Tahoma" w:hAnsi="Tahoma" w:cs="Tahoma"/>
          <w:sz w:val="22"/>
          <w:szCs w:val="22"/>
        </w:rPr>
        <w:t>, e</w:t>
      </w:r>
      <w:r w:rsidRPr="009C49D6">
        <w:rPr>
          <w:rFonts w:ascii="Tahoma" w:hAnsi="Tahoma" w:cs="Tahoma"/>
          <w:sz w:val="22"/>
          <w:szCs w:val="22"/>
        </w:rPr>
        <w:noBreakHyphen/>
        <w:t>mail: </w:t>
      </w:r>
      <w:r w:rsidR="009C49D6">
        <w:rPr>
          <w:rFonts w:ascii="Tahoma" w:hAnsi="Tahoma" w:cs="Tahoma"/>
          <w:sz w:val="22"/>
          <w:szCs w:val="22"/>
        </w:rPr>
        <w:t>lvasevic</w:t>
      </w:r>
      <w:r w:rsidR="009C49D6" w:rsidRPr="009C49D6">
        <w:rPr>
          <w:rFonts w:ascii="Tahoma" w:hAnsi="Tahoma" w:cs="Tahoma"/>
          <w:sz w:val="22"/>
          <w:szCs w:val="22"/>
        </w:rPr>
        <w:t>@</w:t>
      </w:r>
      <w:r w:rsidR="009C49D6">
        <w:rPr>
          <w:rFonts w:ascii="Tahoma" w:hAnsi="Tahoma" w:cs="Tahoma"/>
          <w:sz w:val="22"/>
          <w:szCs w:val="22"/>
        </w:rPr>
        <w:t>email.cz</w:t>
      </w:r>
    </w:p>
    <w:p w14:paraId="1E44D1DA" w14:textId="1DD04C35" w:rsidR="006177F0" w:rsidRDefault="006177F0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6DAA23BA" w14:textId="77777777" w:rsidR="00A54991" w:rsidRPr="002A0361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2A0361">
        <w:rPr>
          <w:rFonts w:ascii="Tahoma" w:hAnsi="Tahoma" w:cs="Tahoma"/>
          <w:b/>
          <w:i/>
          <w:iCs/>
          <w:color w:val="FF0000"/>
          <w:sz w:val="22"/>
          <w:szCs w:val="22"/>
        </w:rPr>
        <w:t>VARIANTA A</w:t>
      </w:r>
      <w:r w:rsidRPr="002A0361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>(pro právnickou osobu nebo fyzickou osobu zapsanou v obchodním rejstříku, údaje na řádcích 1-4 se vyplní dle výpisu z obchodního rejstříku):</w:t>
      </w:r>
    </w:p>
    <w:p w14:paraId="33297AE7" w14:textId="77777777" w:rsidR="00A54991" w:rsidRPr="00080BAF" w:rsidRDefault="00A5499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Obchodní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/>
          <w:bCs/>
          <w:sz w:val="22"/>
          <w:szCs w:val="22"/>
        </w:rPr>
        <w:t>firma</w:t>
      </w:r>
    </w:p>
    <w:p w14:paraId="595CABC9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53371CE1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045BBBEF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4E456B48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5831907B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0080AB09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632E1E68" w14:textId="56BCA52E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Zapsána v obchodním rejstříku vedeném ………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 soudem v</w:t>
      </w:r>
      <w:r w:rsidR="00E009D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A0361">
        <w:rPr>
          <w:rFonts w:ascii="Tahoma" w:hAnsi="Tahoma" w:cs="Tahoma"/>
          <w:sz w:val="22"/>
          <w:szCs w:val="22"/>
        </w:rPr>
        <w:t>sp</w:t>
      </w:r>
      <w:proofErr w:type="spellEnd"/>
      <w:r w:rsidR="002A0361">
        <w:rPr>
          <w:rFonts w:ascii="Tahoma" w:hAnsi="Tahoma" w:cs="Tahoma"/>
          <w:sz w:val="22"/>
          <w:szCs w:val="22"/>
        </w:rPr>
        <w:t>. zn.</w:t>
      </w:r>
      <w:r w:rsidR="00E009D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…</w:t>
      </w:r>
    </w:p>
    <w:p w14:paraId="7B516714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Pr="00E009DB">
        <w:rPr>
          <w:rFonts w:ascii="Tahoma" w:hAnsi="Tahoma" w:cs="Tahoma"/>
          <w:sz w:val="22"/>
          <w:szCs w:val="22"/>
        </w:rPr>
        <w:t>“)</w:t>
      </w:r>
    </w:p>
    <w:p w14:paraId="7CEC53C3" w14:textId="05526621" w:rsidR="00A54991" w:rsidRPr="002A0361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2A0361">
        <w:rPr>
          <w:rFonts w:ascii="Tahoma" w:hAnsi="Tahoma" w:cs="Tahoma"/>
          <w:b/>
          <w:i/>
          <w:iCs/>
          <w:color w:val="FF0000"/>
          <w:sz w:val="22"/>
          <w:szCs w:val="22"/>
        </w:rPr>
        <w:t>VARIANTA B</w:t>
      </w:r>
      <w:r w:rsidRPr="002A0361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 xml:space="preserve">(pro fyzickou osobu nezapsanou v obchodním rejstříku, údaje na řádcích </w:t>
      </w:r>
      <w:r w:rsidR="00554740" w:rsidRPr="002A0361">
        <w:rPr>
          <w:rFonts w:ascii="Tahoma" w:hAnsi="Tahoma" w:cs="Tahoma"/>
          <w:i/>
          <w:color w:val="FF0000"/>
          <w:sz w:val="22"/>
          <w:szCs w:val="22"/>
        </w:rPr>
        <w:t xml:space="preserve">1-4 se vyplní podle </w:t>
      </w:r>
      <w:r w:rsidR="004D57E5">
        <w:rPr>
          <w:rFonts w:ascii="Tahoma" w:hAnsi="Tahoma" w:cs="Tahoma"/>
          <w:i/>
          <w:color w:val="FF0000"/>
          <w:sz w:val="22"/>
          <w:szCs w:val="22"/>
        </w:rPr>
        <w:t xml:space="preserve">výpisu z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 xml:space="preserve">živnostenského </w:t>
      </w:r>
      <w:r w:rsidR="004D57E5">
        <w:rPr>
          <w:rFonts w:ascii="Tahoma" w:hAnsi="Tahoma" w:cs="Tahoma"/>
          <w:i/>
          <w:color w:val="FF0000"/>
          <w:sz w:val="22"/>
          <w:szCs w:val="22"/>
        </w:rPr>
        <w:t>rejstříku či jiné evidence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>):</w:t>
      </w:r>
    </w:p>
    <w:p w14:paraId="11565674" w14:textId="77777777" w:rsidR="00A54991" w:rsidRPr="00080BAF" w:rsidRDefault="00A54991" w:rsidP="007C158D">
      <w:pPr>
        <w:numPr>
          <w:ilvl w:val="0"/>
          <w:numId w:val="2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Jméno</w:t>
      </w:r>
      <w:r w:rsidRPr="00080BAF">
        <w:rPr>
          <w:rFonts w:ascii="Tahoma" w:hAnsi="Tahoma" w:cs="Tahoma"/>
          <w:b/>
          <w:bCs/>
          <w:sz w:val="22"/>
          <w:szCs w:val="22"/>
        </w:rPr>
        <w:t xml:space="preserve"> a příjmení</w:t>
      </w:r>
    </w:p>
    <w:p w14:paraId="383F684C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A54991" w:rsidRPr="00080BAF">
        <w:rPr>
          <w:rFonts w:ascii="Tahoma" w:hAnsi="Tahoma" w:cs="Tahoma"/>
          <w:sz w:val="22"/>
          <w:szCs w:val="22"/>
        </w:rPr>
        <w:t>odnikající pod jménem:</w:t>
      </w:r>
      <w:r>
        <w:rPr>
          <w:rFonts w:ascii="Tahoma" w:hAnsi="Tahoma" w:cs="Tahoma"/>
          <w:sz w:val="22"/>
          <w:szCs w:val="22"/>
        </w:rPr>
        <w:tab/>
      </w:r>
    </w:p>
    <w:p w14:paraId="73910260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</w:t>
      </w:r>
      <w:r w:rsidR="00A54991"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1D1503C1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4A3DC5B9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3ED73667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614EF258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2CB40D82" w14:textId="77777777" w:rsidR="00A54991" w:rsidRPr="00F37B3F" w:rsidRDefault="00A54991" w:rsidP="00A26A58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F37B3F">
        <w:rPr>
          <w:rFonts w:ascii="Tahoma" w:hAnsi="Tahoma" w:cs="Tahoma"/>
          <w:sz w:val="22"/>
          <w:szCs w:val="22"/>
        </w:rPr>
        <w:t>Zapsána v ……………………, vedené</w:t>
      </w:r>
      <w:r w:rsidR="00E009DB" w:rsidRPr="00F37B3F">
        <w:rPr>
          <w:rFonts w:ascii="Tahoma" w:hAnsi="Tahoma" w:cs="Tahoma"/>
          <w:sz w:val="22"/>
          <w:szCs w:val="22"/>
        </w:rPr>
        <w:t xml:space="preserve"> </w:t>
      </w:r>
      <w:r w:rsidRPr="00F37B3F">
        <w:rPr>
          <w:rFonts w:ascii="Tahoma" w:hAnsi="Tahoma" w:cs="Tahoma"/>
          <w:sz w:val="22"/>
          <w:szCs w:val="22"/>
        </w:rPr>
        <w:t>……………</w:t>
      </w:r>
      <w:r w:rsidR="00E009DB" w:rsidRPr="00F37B3F">
        <w:rPr>
          <w:rFonts w:ascii="Tahoma" w:hAnsi="Tahoma" w:cs="Tahoma"/>
          <w:sz w:val="22"/>
          <w:szCs w:val="22"/>
        </w:rPr>
        <w:t>……………</w:t>
      </w:r>
      <w:r w:rsidRPr="00F37B3F">
        <w:rPr>
          <w:rFonts w:ascii="Tahoma" w:hAnsi="Tahoma" w:cs="Tahoma"/>
          <w:i/>
          <w:sz w:val="22"/>
          <w:szCs w:val="22"/>
        </w:rPr>
        <w:t xml:space="preserve">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>(doplňte údaj o evidenci, ve které je daná osoba zapsána)</w:t>
      </w:r>
    </w:p>
    <w:p w14:paraId="12771184" w14:textId="77777777" w:rsidR="00A54991" w:rsidRPr="00E009DB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="00E009DB">
        <w:rPr>
          <w:rFonts w:ascii="Tahoma" w:hAnsi="Tahoma" w:cs="Tahoma"/>
          <w:sz w:val="22"/>
          <w:szCs w:val="22"/>
        </w:rPr>
        <w:t>“)</w:t>
      </w: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3FFD6626" w:rsidR="000E1EDA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35AADB9B" w:rsidR="00806319" w:rsidRPr="0093010F" w:rsidRDefault="00806319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</w:t>
      </w:r>
      <w:r w:rsidR="0093010F" w:rsidRPr="006B1FAE">
        <w:rPr>
          <w:rFonts w:ascii="Tahoma" w:hAnsi="Tahoma" w:cs="Tahoma"/>
          <w:sz w:val="22"/>
          <w:szCs w:val="22"/>
        </w:rPr>
        <w:t>„</w:t>
      </w:r>
      <w:r w:rsidR="006B1FAE" w:rsidRPr="006B1FAE">
        <w:rPr>
          <w:rFonts w:ascii="Tahoma" w:hAnsi="Tahoma" w:cs="Tahoma"/>
          <w:sz w:val="22"/>
          <w:szCs w:val="22"/>
        </w:rPr>
        <w:t>Rekonstrukce elektroinstalace</w:t>
      </w:r>
      <w:r w:rsidR="0093010F" w:rsidRPr="006B1FAE">
        <w:rPr>
          <w:rFonts w:ascii="Tahoma" w:hAnsi="Tahoma" w:cs="Tahoma"/>
          <w:sz w:val="22"/>
          <w:szCs w:val="22"/>
        </w:rPr>
        <w:t xml:space="preserve">“ </w:t>
      </w:r>
      <w:r w:rsidR="0093010F" w:rsidRPr="009268AA">
        <w:rPr>
          <w:rFonts w:ascii="Tahoma" w:hAnsi="Tahoma" w:cs="Tahoma"/>
          <w:sz w:val="22"/>
          <w:szCs w:val="22"/>
        </w:rPr>
        <w:t>(dále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5DEA436C" w:rsidR="00A54991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projektovou dokumentaci </w:t>
      </w:r>
      <w:r w:rsidR="005E63C3">
        <w:rPr>
          <w:rFonts w:ascii="Tahoma" w:hAnsi="Tahoma" w:cs="Tahoma"/>
          <w:sz w:val="22"/>
          <w:szCs w:val="22"/>
        </w:rPr>
        <w:t>na rekonstrukci elektroinstalace v Matičním gymnáziu, Ostrava, příspěvkové organizaci</w:t>
      </w:r>
      <w:r w:rsidR="0030781A">
        <w:rPr>
          <w:rFonts w:ascii="Tahoma" w:hAnsi="Tahoma" w:cs="Tahoma"/>
          <w:sz w:val="22"/>
          <w:szCs w:val="22"/>
        </w:rPr>
        <w:t xml:space="preserve"> (dále také jako „dílo“)</w:t>
      </w:r>
      <w:r w:rsidR="00291009">
        <w:rPr>
          <w:rFonts w:ascii="Tahoma" w:hAnsi="Tahoma" w:cs="Tahoma"/>
          <w:sz w:val="22"/>
          <w:szCs w:val="22"/>
        </w:rPr>
        <w:t>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33B5D0C8" w14:textId="078621B6" w:rsidR="005634D0" w:rsidRDefault="005634D0" w:rsidP="005634D0">
      <w:pPr>
        <w:pStyle w:val="Zkladntextodsazen"/>
        <w:spacing w:before="120"/>
        <w:ind w:left="426"/>
        <w:rPr>
          <w:rFonts w:ascii="Tahoma" w:hAnsi="Tahoma" w:cs="Tahoma"/>
          <w:sz w:val="22"/>
          <w:szCs w:val="22"/>
        </w:rPr>
      </w:pPr>
      <w:r w:rsidRPr="005634D0">
        <w:t xml:space="preserve">      </w:t>
      </w:r>
      <w:r w:rsidRPr="005634D0">
        <w:rPr>
          <w:rFonts w:ascii="Tahoma" w:hAnsi="Tahoma" w:cs="Tahoma"/>
          <w:sz w:val="22"/>
          <w:szCs w:val="22"/>
        </w:rPr>
        <w:t xml:space="preserve">Projektová dokumentace bude  zpracována pro </w:t>
      </w:r>
      <w:r w:rsidRPr="005634D0">
        <w:rPr>
          <w:rFonts w:ascii="Tahoma" w:hAnsi="Tahoma" w:cs="Tahoma"/>
          <w:sz w:val="22"/>
          <w:szCs w:val="22"/>
        </w:rPr>
        <w:t>kompletní výměn</w:t>
      </w:r>
      <w:r w:rsidRPr="005634D0">
        <w:rPr>
          <w:rFonts w:ascii="Tahoma" w:hAnsi="Tahoma" w:cs="Tahoma"/>
          <w:sz w:val="22"/>
          <w:szCs w:val="22"/>
        </w:rPr>
        <w:t>u</w:t>
      </w:r>
      <w:r w:rsidRPr="005634D0">
        <w:rPr>
          <w:rFonts w:ascii="Tahoma" w:hAnsi="Tahoma" w:cs="Tahoma"/>
          <w:sz w:val="22"/>
          <w:szCs w:val="22"/>
        </w:rPr>
        <w:t xml:space="preserve"> silnoproudých a slaboproudých rozvodů. Dále bude také provedena instalace chybějící elektrické požární a zabezpečovací signalizace, dojde k rekonstrukci napájecích rozvodů, rozvaděčů, světelných obvodů, zásuvkových obvodů a motorických obvodů. V rámci slaboproudých rozvodů dojde k rekonstrukci strukturované kabeláže, telefonních rozvodů, domácích telefonů, rozhlasu, elektronického zabezpečovacího a požárního systému, kompletní rekonstrukce počítačové sítě, zajištění konektivity, včetně přípravy na desinfekční zařízení (ozónem).</w:t>
      </w:r>
    </w:p>
    <w:p w14:paraId="77D87988" w14:textId="6EC01B8B" w:rsidR="005634D0" w:rsidRDefault="005634D0" w:rsidP="005634D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Z důvodu plánované realizace stavby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v období dvou let</w:t>
      </w:r>
      <w:r>
        <w:rPr>
          <w:rFonts w:ascii="Tahoma" w:hAnsi="Tahoma" w:cs="Tahoma"/>
          <w:sz w:val="22"/>
          <w:szCs w:val="22"/>
        </w:rPr>
        <w:t xml:space="preserve"> (2025 a 2026)</w:t>
      </w:r>
      <w:r>
        <w:rPr>
          <w:rFonts w:ascii="Tahoma" w:hAnsi="Tahoma" w:cs="Tahoma"/>
          <w:sz w:val="22"/>
          <w:szCs w:val="22"/>
        </w:rPr>
        <w:t>, bude projektová dokumentace rozčleněna do dvou etap, a to včetně položkového rozpočtu.</w:t>
      </w:r>
    </w:p>
    <w:p w14:paraId="73F90806" w14:textId="35AFB401" w:rsidR="005634D0" w:rsidRPr="005634D0" w:rsidRDefault="005634D0" w:rsidP="005634D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color w:val="7030A0"/>
          <w:sz w:val="22"/>
          <w:szCs w:val="22"/>
        </w:rPr>
      </w:pPr>
    </w:p>
    <w:p w14:paraId="65D91133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5375B1E2" w14:textId="17E9F565" w:rsidR="00C95E11" w:rsidRDefault="00C95E11" w:rsidP="007C158D">
      <w:pPr>
        <w:pStyle w:val="Smlouva-eslo"/>
        <w:keepNext/>
        <w:widowControl/>
        <w:numPr>
          <w:ilvl w:val="1"/>
          <w:numId w:val="10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Zaměření</w:t>
      </w:r>
      <w:r w:rsidR="006C521B">
        <w:rPr>
          <w:rFonts w:ascii="Tahoma" w:hAnsi="Tahoma" w:cs="Tahoma"/>
          <w:b/>
          <w:bCs/>
          <w:sz w:val="22"/>
          <w:szCs w:val="22"/>
        </w:rPr>
        <w:t xml:space="preserve"> a průzkumy</w:t>
      </w:r>
    </w:p>
    <w:p w14:paraId="0ACDC15F" w14:textId="4B77B7F1" w:rsidR="003756E0" w:rsidRDefault="0046450B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821BF9">
        <w:rPr>
          <w:rFonts w:ascii="Tahoma" w:hAnsi="Tahoma" w:cs="Tahoma"/>
          <w:sz w:val="22"/>
          <w:szCs w:val="22"/>
        </w:rPr>
        <w:t>Předmětem této části díla je</w:t>
      </w:r>
      <w:r w:rsidR="00F56C30" w:rsidRPr="00821BF9">
        <w:rPr>
          <w:rFonts w:ascii="Tahoma" w:hAnsi="Tahoma" w:cs="Tahoma"/>
          <w:sz w:val="22"/>
          <w:szCs w:val="22"/>
        </w:rPr>
        <w:t xml:space="preserve"> </w:t>
      </w:r>
      <w:r w:rsidR="0030781A" w:rsidRPr="00821BF9">
        <w:rPr>
          <w:rFonts w:ascii="Tahoma" w:hAnsi="Tahoma" w:cs="Tahoma"/>
          <w:sz w:val="22"/>
          <w:szCs w:val="22"/>
        </w:rPr>
        <w:t>zaměření těch částí objektu</w:t>
      </w:r>
      <w:r w:rsidRPr="00821BF9">
        <w:rPr>
          <w:rFonts w:ascii="Tahoma" w:hAnsi="Tahoma" w:cs="Tahoma"/>
          <w:sz w:val="22"/>
          <w:szCs w:val="22"/>
        </w:rPr>
        <w:t xml:space="preserve">, které budou dotčeny stavebními úpravami. </w:t>
      </w:r>
      <w:r w:rsidR="00733FC3" w:rsidRPr="00FA3759">
        <w:rPr>
          <w:rFonts w:ascii="Tahoma" w:hAnsi="Tahoma" w:cs="Tahoma"/>
          <w:sz w:val="22"/>
          <w:szCs w:val="22"/>
        </w:rPr>
        <w:t xml:space="preserve">Toto zaměření bude provedeno vždy, bez ohledu na stav stávající pasportizace objektu. </w:t>
      </w:r>
      <w:r w:rsidRPr="00FA3759">
        <w:rPr>
          <w:rFonts w:ascii="Tahoma" w:hAnsi="Tahoma" w:cs="Tahoma"/>
          <w:sz w:val="22"/>
          <w:szCs w:val="22"/>
        </w:rPr>
        <w:t xml:space="preserve">Zdokumentován bude skutečný stav k datu </w:t>
      </w:r>
      <w:r w:rsidR="00291009" w:rsidRPr="00FA3759">
        <w:rPr>
          <w:rFonts w:ascii="Tahoma" w:hAnsi="Tahoma" w:cs="Tahoma"/>
          <w:sz w:val="22"/>
          <w:szCs w:val="22"/>
        </w:rPr>
        <w:t>provedení této části díla</w:t>
      </w:r>
      <w:r w:rsidRPr="00FA3759">
        <w:rPr>
          <w:rFonts w:ascii="Tahoma" w:hAnsi="Tahoma" w:cs="Tahoma"/>
          <w:sz w:val="22"/>
          <w:szCs w:val="22"/>
        </w:rPr>
        <w:t>.</w:t>
      </w:r>
      <w:r w:rsidRPr="00FA3759">
        <w:rPr>
          <w:b/>
        </w:rPr>
        <w:t xml:space="preserve"> </w:t>
      </w:r>
      <w:r w:rsidR="00F10467" w:rsidRPr="00FA3759">
        <w:rPr>
          <w:rFonts w:ascii="Tahoma" w:hAnsi="Tahoma" w:cs="Tahoma"/>
          <w:sz w:val="22"/>
          <w:szCs w:val="22"/>
        </w:rPr>
        <w:t>Součástí zaměření bude podrobná fotodokumentace stávajícího stavu objektu</w:t>
      </w:r>
      <w:r w:rsidRPr="00FA3759">
        <w:rPr>
          <w:rFonts w:ascii="Tahoma" w:hAnsi="Tahoma" w:cs="Tahoma"/>
          <w:sz w:val="22"/>
          <w:szCs w:val="22"/>
        </w:rPr>
        <w:t>.</w:t>
      </w:r>
      <w:r w:rsidR="00754373" w:rsidRPr="00FA3759">
        <w:rPr>
          <w:rFonts w:ascii="Tahoma" w:hAnsi="Tahoma" w:cs="Tahoma"/>
          <w:sz w:val="22"/>
          <w:szCs w:val="22"/>
        </w:rPr>
        <w:t xml:space="preserve"> </w:t>
      </w:r>
      <w:r w:rsidR="003756E0" w:rsidRPr="00FA3759">
        <w:rPr>
          <w:rFonts w:ascii="Tahoma" w:hAnsi="Tahoma" w:cs="Tahoma"/>
          <w:sz w:val="22"/>
          <w:szCs w:val="22"/>
        </w:rPr>
        <w:t xml:space="preserve">Zhotovitel bere na vědomí, že </w:t>
      </w:r>
      <w:r w:rsidR="00FA3759">
        <w:rPr>
          <w:rFonts w:ascii="Tahoma" w:hAnsi="Tahoma" w:cs="Tahoma"/>
          <w:sz w:val="22"/>
          <w:szCs w:val="22"/>
        </w:rPr>
        <w:t xml:space="preserve">současná </w:t>
      </w:r>
      <w:r w:rsidR="003756E0" w:rsidRPr="00FA3759">
        <w:rPr>
          <w:rFonts w:ascii="Tahoma" w:hAnsi="Tahoma" w:cs="Tahoma"/>
          <w:sz w:val="22"/>
          <w:szCs w:val="22"/>
        </w:rPr>
        <w:t>dokumentace stávajícího stavu budovy (stavby)</w:t>
      </w:r>
      <w:r w:rsidR="00FA3759">
        <w:rPr>
          <w:rFonts w:ascii="Tahoma" w:hAnsi="Tahoma" w:cs="Tahoma"/>
          <w:sz w:val="22"/>
          <w:szCs w:val="22"/>
        </w:rPr>
        <w:t>, kterou má objednatel k</w:t>
      </w:r>
      <w:r w:rsidR="00835733">
        <w:rPr>
          <w:rFonts w:ascii="Tahoma" w:hAnsi="Tahoma" w:cs="Tahoma"/>
          <w:sz w:val="22"/>
          <w:szCs w:val="22"/>
        </w:rPr>
        <w:t> </w:t>
      </w:r>
      <w:r w:rsidR="00FA3759">
        <w:rPr>
          <w:rFonts w:ascii="Tahoma" w:hAnsi="Tahoma" w:cs="Tahoma"/>
          <w:sz w:val="22"/>
          <w:szCs w:val="22"/>
        </w:rPr>
        <w:t>dispozici</w:t>
      </w:r>
      <w:r w:rsidR="00835733">
        <w:rPr>
          <w:rFonts w:ascii="Tahoma" w:hAnsi="Tahoma" w:cs="Tahoma"/>
          <w:sz w:val="22"/>
          <w:szCs w:val="22"/>
        </w:rPr>
        <w:t>,</w:t>
      </w:r>
      <w:r w:rsidR="003756E0" w:rsidRPr="00FA3759">
        <w:rPr>
          <w:rFonts w:ascii="Tahoma" w:hAnsi="Tahoma" w:cs="Tahoma"/>
          <w:sz w:val="22"/>
          <w:szCs w:val="22"/>
        </w:rPr>
        <w:t xml:space="preserve"> nemusí odpovídat jejímu skutečnému aktuálnímu stavu a zhotovitel je povinen tento stav prověřit a případně tuto dokumentaci </w:t>
      </w:r>
      <w:r w:rsidR="009E7D5E">
        <w:rPr>
          <w:rFonts w:ascii="Tahoma" w:hAnsi="Tahoma" w:cs="Tahoma"/>
          <w:sz w:val="22"/>
          <w:szCs w:val="22"/>
        </w:rPr>
        <w:t>vyho</w:t>
      </w:r>
      <w:r w:rsidR="00935AA7">
        <w:rPr>
          <w:rFonts w:ascii="Tahoma" w:hAnsi="Tahoma" w:cs="Tahoma"/>
          <w:sz w:val="22"/>
          <w:szCs w:val="22"/>
        </w:rPr>
        <w:t>tov</w:t>
      </w:r>
      <w:r w:rsidR="009E7D5E">
        <w:rPr>
          <w:rFonts w:ascii="Tahoma" w:hAnsi="Tahoma" w:cs="Tahoma"/>
          <w:sz w:val="22"/>
          <w:szCs w:val="22"/>
        </w:rPr>
        <w:t>i</w:t>
      </w:r>
      <w:r w:rsidR="003756E0" w:rsidRPr="00FA3759">
        <w:rPr>
          <w:rFonts w:ascii="Tahoma" w:hAnsi="Tahoma" w:cs="Tahoma"/>
          <w:sz w:val="22"/>
          <w:szCs w:val="22"/>
        </w:rPr>
        <w:t>t v rozsahu nezbytně nutném pro zpracování díla.</w:t>
      </w:r>
    </w:p>
    <w:p w14:paraId="6660D3B2" w14:textId="6ED122B3" w:rsidR="005E63C3" w:rsidRPr="00FA3759" w:rsidRDefault="005E63C3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budou dále veškeré průzkumy potřebné pro zpracování projektové dokumentace.</w:t>
      </w:r>
    </w:p>
    <w:p w14:paraId="3F3E9E92" w14:textId="05783BE5" w:rsidR="00644C3A" w:rsidRPr="00080BAF" w:rsidRDefault="00A54991" w:rsidP="007C158D">
      <w:pPr>
        <w:pStyle w:val="Smlouva-eslo"/>
        <w:keepNext/>
        <w:widowControl/>
        <w:numPr>
          <w:ilvl w:val="1"/>
          <w:numId w:val="10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72909F50" w14:textId="6613BC2B" w:rsidR="000F3C73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</w:t>
      </w:r>
      <w:r w:rsidR="007A003A" w:rsidRPr="00AD317B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>a od okamžiku nabytí účinnosti zákona č. 283/2021 Sb., stavební zákon, ve znění pozdějších předpisů, stanovené tímto zákonem (zákon č. 183/2006 Sb. a zákon č. 283/2021 Sb. se dále jednotně označují jen jako „stavební zákon“)</w:t>
      </w:r>
      <w:r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AD317B">
        <w:rPr>
          <w:rFonts w:ascii="Tahoma" w:hAnsi="Tahoma" w:cs="Tahoma"/>
          <w:sz w:val="22"/>
          <w:szCs w:val="22"/>
        </w:rPr>
        <w:t>a</w:t>
      </w:r>
      <w:r w:rsidR="000F3C73" w:rsidRPr="00AD317B">
        <w:rPr>
          <w:rFonts w:ascii="Tahoma" w:hAnsi="Tahoma" w:cs="Tahoma"/>
          <w:sz w:val="22"/>
          <w:szCs w:val="22"/>
        </w:rPr>
        <w:t xml:space="preserve"> jeho</w:t>
      </w:r>
      <w:r w:rsidR="00644C3A"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6DDD8617" w14:textId="77777777" w:rsidR="005E63C3" w:rsidRDefault="006C55CD" w:rsidP="006C55C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b/>
          <w:bCs/>
          <w:sz w:val="22"/>
          <w:szCs w:val="22"/>
        </w:rPr>
      </w:pPr>
      <w:bookmarkStart w:id="1" w:name="_Hlk124428707"/>
      <w:r>
        <w:rPr>
          <w:rFonts w:ascii="Tahoma" w:hAnsi="Tahoma" w:cs="Tahoma"/>
          <w:b/>
          <w:bCs/>
          <w:sz w:val="22"/>
          <w:szCs w:val="22"/>
        </w:rPr>
        <w:t>V rámci této části díla zhotovitel zajistí rovněž</w:t>
      </w:r>
      <w:r w:rsidR="005E63C3">
        <w:rPr>
          <w:rFonts w:ascii="Tahoma" w:hAnsi="Tahoma" w:cs="Tahoma"/>
          <w:b/>
          <w:bCs/>
          <w:sz w:val="22"/>
          <w:szCs w:val="22"/>
        </w:rPr>
        <w:t>:</w:t>
      </w:r>
    </w:p>
    <w:p w14:paraId="782BFE8F" w14:textId="073EB6A0" w:rsidR="006C55CD" w:rsidRDefault="006C55CD" w:rsidP="005E63C3">
      <w:pPr>
        <w:pStyle w:val="Smlouva-eslo"/>
        <w:widowControl/>
        <w:numPr>
          <w:ilvl w:val="0"/>
          <w:numId w:val="43"/>
        </w:numPr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písemné</w:t>
      </w:r>
      <w:r w:rsidRPr="006C55CD">
        <w:rPr>
          <w:rFonts w:ascii="Tahoma" w:hAnsi="Tahoma" w:cs="Tahoma"/>
          <w:b/>
          <w:bCs/>
          <w:sz w:val="22"/>
          <w:szCs w:val="22"/>
        </w:rPr>
        <w:t xml:space="preserve"> stanovisko stavebního úřadu, zda stavební záměr vyžaduje či nevyžaduje </w:t>
      </w:r>
      <w:r w:rsidR="00C53F2B">
        <w:rPr>
          <w:rFonts w:ascii="Tahoma" w:hAnsi="Tahoma" w:cs="Tahoma"/>
          <w:b/>
          <w:bCs/>
          <w:sz w:val="22"/>
          <w:szCs w:val="22"/>
        </w:rPr>
        <w:t xml:space="preserve">příslušné </w:t>
      </w:r>
      <w:r w:rsidRPr="006C55CD">
        <w:rPr>
          <w:rFonts w:ascii="Tahoma" w:hAnsi="Tahoma" w:cs="Tahoma"/>
          <w:b/>
          <w:bCs/>
          <w:sz w:val="22"/>
          <w:szCs w:val="22"/>
        </w:rPr>
        <w:t>povolení pro provedení předmětných prací.</w:t>
      </w:r>
      <w:r w:rsidR="00DB2467">
        <w:rPr>
          <w:rFonts w:ascii="Tahoma" w:hAnsi="Tahoma" w:cs="Tahoma"/>
          <w:b/>
          <w:bCs/>
          <w:sz w:val="22"/>
          <w:szCs w:val="22"/>
        </w:rPr>
        <w:t xml:space="preserve"> V případě</w:t>
      </w:r>
      <w:r w:rsidR="00DB2467" w:rsidRPr="00DB2467">
        <w:rPr>
          <w:rFonts w:ascii="Tahoma" w:hAnsi="Tahoma" w:cs="Tahoma"/>
          <w:b/>
          <w:bCs/>
          <w:sz w:val="22"/>
          <w:szCs w:val="22"/>
        </w:rPr>
        <w:t xml:space="preserve">, že si zhotovitel, jakožto odborná osoba vyhodnotí, že stavba dle této smlouvy nebude vyžadovat jakékoliv povolení stavebního úřadu, bude součástí projektové dokumentace písemné sdělení zhotovitele o této skutečnosti včetně zdůvodnění. </w:t>
      </w:r>
    </w:p>
    <w:p w14:paraId="31AD5200" w14:textId="2580DC33" w:rsidR="005E63C3" w:rsidRPr="006C55CD" w:rsidRDefault="007C110B" w:rsidP="005E63C3">
      <w:pPr>
        <w:pStyle w:val="Smlouva-eslo"/>
        <w:widowControl/>
        <w:numPr>
          <w:ilvl w:val="0"/>
          <w:numId w:val="43"/>
        </w:numPr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 w:rsidR="005E63C3">
        <w:rPr>
          <w:rFonts w:ascii="Tahoma" w:hAnsi="Tahoma" w:cs="Tahoma"/>
          <w:b/>
          <w:bCs/>
          <w:sz w:val="22"/>
          <w:szCs w:val="22"/>
        </w:rPr>
        <w:t xml:space="preserve">ísemné stanovisko Moravskoslezského datového centra, příspěvkové organizace (dále „MSDC“), </w:t>
      </w:r>
      <w:r>
        <w:rPr>
          <w:rFonts w:ascii="Tahoma" w:hAnsi="Tahoma" w:cs="Tahoma"/>
          <w:b/>
          <w:bCs/>
          <w:sz w:val="22"/>
          <w:szCs w:val="22"/>
        </w:rPr>
        <w:t>zda zpracovaná projektová dokumentace za část slaboproud, splňuje požadavky Standard konektivity škol a školských zařízení MSK. Úplnosti a správnosti předaných kompletních podkladů zpracované projektové dokumentace za část slaboproud bude zástupcem MSDC potvrzeno e-mailem zaslaným zhotoviteli a v kopii objednateli.</w:t>
      </w:r>
    </w:p>
    <w:bookmarkEnd w:id="1"/>
    <w:p w14:paraId="5F99F8E4" w14:textId="17191B34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 w:rsidRPr="00EA61F3">
        <w:rPr>
          <w:rFonts w:ascii="Tahoma" w:hAnsi="Tahoma" w:cs="Tahoma"/>
          <w:color w:val="00B0F0"/>
          <w:sz w:val="22"/>
          <w:szCs w:val="22"/>
        </w:rPr>
        <w:t> </w:t>
      </w:r>
      <w:r w:rsidR="000F3C73" w:rsidRPr="002A7DFF">
        <w:rPr>
          <w:rFonts w:ascii="Tahoma" w:hAnsi="Tahoma" w:cs="Tahoma"/>
          <w:sz w:val="22"/>
          <w:szCs w:val="22"/>
        </w:rPr>
        <w:t xml:space="preserve">169/2016 </w:t>
      </w:r>
      <w:r w:rsidR="000F3C73">
        <w:rPr>
          <w:rFonts w:ascii="Tahoma" w:hAnsi="Tahoma" w:cs="Tahoma"/>
          <w:sz w:val="22"/>
          <w:szCs w:val="22"/>
        </w:rPr>
        <w:t>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5E1D23EB" w14:textId="474553D4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>.</w:t>
      </w:r>
    </w:p>
    <w:p w14:paraId="483AEFE3" w14:textId="07E2C0D3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64FE263B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6C91AAD9" w14:textId="5C56EEE5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2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  <w:r w:rsidR="007C110B">
        <w:rPr>
          <w:rFonts w:ascii="Tahoma" w:hAnsi="Tahoma" w:cs="Tahoma"/>
          <w:sz w:val="22"/>
          <w:szCs w:val="22"/>
        </w:rPr>
        <w:t xml:space="preserve"> Rekonstrukce elektroinstalace bude probíhat s ohledem na provoz školy, tzn. především o letních prázdninách.</w:t>
      </w:r>
    </w:p>
    <w:bookmarkEnd w:id="2"/>
    <w:p w14:paraId="1CBDE936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782A7170" w:rsidR="00A54991" w:rsidRPr="00775F19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</w:t>
      </w:r>
      <w:bookmarkStart w:id="3" w:name="_Hlk150498336"/>
      <w:r w:rsidR="008F1160">
        <w:rPr>
          <w:rFonts w:ascii="Tahoma" w:hAnsi="Tahoma" w:cs="Tahoma"/>
          <w:sz w:val="22"/>
          <w:szCs w:val="22"/>
        </w:rPr>
        <w:t xml:space="preserve">elektronicky </w:t>
      </w:r>
      <w:r w:rsidRPr="00775F19">
        <w:rPr>
          <w:rFonts w:ascii="Tahoma" w:hAnsi="Tahoma" w:cs="Tahoma"/>
          <w:sz w:val="22"/>
          <w:szCs w:val="22"/>
        </w:rPr>
        <w:t>na</w:t>
      </w:r>
      <w:r w:rsidR="009E6235">
        <w:rPr>
          <w:rFonts w:ascii="Tahoma" w:hAnsi="Tahoma" w:cs="Tahoma"/>
          <w:sz w:val="22"/>
          <w:szCs w:val="22"/>
        </w:rPr>
        <w:t> </w:t>
      </w:r>
      <w:bookmarkStart w:id="4" w:name="_Hlk150437360"/>
      <w:r w:rsidR="009B1D5A">
        <w:rPr>
          <w:rFonts w:ascii="Tahoma" w:hAnsi="Tahoma" w:cs="Tahoma"/>
          <w:sz w:val="22"/>
          <w:szCs w:val="22"/>
        </w:rPr>
        <w:t xml:space="preserve">přenosném datovém </w:t>
      </w:r>
      <w:r w:rsidR="009E6235">
        <w:rPr>
          <w:rFonts w:ascii="Tahoma" w:hAnsi="Tahoma" w:cs="Tahoma"/>
          <w:sz w:val="22"/>
          <w:szCs w:val="22"/>
        </w:rPr>
        <w:t>nosiči</w:t>
      </w:r>
      <w:bookmarkEnd w:id="4"/>
      <w:r w:rsidR="009E6235">
        <w:rPr>
          <w:rFonts w:ascii="Tahoma" w:hAnsi="Tahoma" w:cs="Tahoma"/>
          <w:snapToGrid w:val="0"/>
          <w:sz w:val="22"/>
          <w:szCs w:val="22"/>
        </w:rPr>
        <w:t xml:space="preserve"> </w:t>
      </w:r>
      <w:bookmarkEnd w:id="3"/>
      <w:r w:rsidRPr="00775F19">
        <w:rPr>
          <w:rFonts w:ascii="Tahoma" w:hAnsi="Tahoma" w:cs="Tahoma"/>
          <w:sz w:val="22"/>
          <w:szCs w:val="22"/>
        </w:rPr>
        <w:t>ve formátu pro texty *.doc</w:t>
      </w:r>
      <w:r w:rsidR="0015700E">
        <w:rPr>
          <w:rFonts w:ascii="Tahoma" w:hAnsi="Tahoma" w:cs="Tahoma"/>
          <w:sz w:val="22"/>
          <w:szCs w:val="22"/>
        </w:rPr>
        <w:t>/</w:t>
      </w:r>
      <w:bookmarkStart w:id="5" w:name="_Hlk150510430"/>
      <w:proofErr w:type="spellStart"/>
      <w:r w:rsidR="0015700E">
        <w:rPr>
          <w:rFonts w:ascii="Tahoma" w:hAnsi="Tahoma" w:cs="Tahoma"/>
          <w:sz w:val="22"/>
          <w:szCs w:val="22"/>
        </w:rPr>
        <w:t>docx</w:t>
      </w:r>
      <w:bookmarkEnd w:id="5"/>
      <w:proofErr w:type="spellEnd"/>
      <w:r w:rsidR="0007465C">
        <w:rPr>
          <w:rFonts w:ascii="Tahoma" w:hAnsi="Tahoma" w:cs="Tahoma"/>
          <w:sz w:val="22"/>
          <w:szCs w:val="22"/>
        </w:rPr>
        <w:t xml:space="preserve"> </w:t>
      </w:r>
      <w:r w:rsidRPr="00775F19">
        <w:rPr>
          <w:rFonts w:ascii="Tahoma" w:hAnsi="Tahoma" w:cs="Tahoma"/>
          <w:sz w:val="22"/>
          <w:szCs w:val="22"/>
        </w:rPr>
        <w:t>(*.</w:t>
      </w:r>
      <w:proofErr w:type="spellStart"/>
      <w:r w:rsidRPr="00775F19">
        <w:rPr>
          <w:rFonts w:ascii="Tahoma" w:hAnsi="Tahoma" w:cs="Tahoma"/>
          <w:sz w:val="22"/>
          <w:szCs w:val="22"/>
        </w:rPr>
        <w:t>rtf</w:t>
      </w:r>
      <w:proofErr w:type="spellEnd"/>
      <w:r w:rsidRPr="00775F19">
        <w:rPr>
          <w:rFonts w:ascii="Tahoma" w:hAnsi="Tahoma" w:cs="Tahoma"/>
          <w:sz w:val="22"/>
          <w:szCs w:val="22"/>
        </w:rPr>
        <w:t>), pro tabulky *.</w:t>
      </w:r>
      <w:proofErr w:type="spellStart"/>
      <w:r w:rsidRPr="00775F19">
        <w:rPr>
          <w:rFonts w:ascii="Tahoma" w:hAnsi="Tahoma" w:cs="Tahoma"/>
          <w:sz w:val="22"/>
          <w:szCs w:val="22"/>
        </w:rPr>
        <w:t>xls</w:t>
      </w:r>
      <w:proofErr w:type="spellEnd"/>
      <w:r w:rsidR="00022804">
        <w:rPr>
          <w:rFonts w:ascii="Tahoma" w:hAnsi="Tahoma" w:cs="Tahoma"/>
          <w:sz w:val="22"/>
          <w:szCs w:val="22"/>
        </w:rPr>
        <w:t>/</w:t>
      </w:r>
      <w:proofErr w:type="spellStart"/>
      <w:r w:rsidR="00022804">
        <w:rPr>
          <w:rFonts w:ascii="Tahoma" w:hAnsi="Tahoma" w:cs="Tahoma"/>
          <w:sz w:val="22"/>
          <w:szCs w:val="22"/>
        </w:rPr>
        <w:t>xlsx</w:t>
      </w:r>
      <w:proofErr w:type="spellEnd"/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</w:t>
      </w:r>
      <w:proofErr w:type="spellStart"/>
      <w:r w:rsidRPr="00775F19">
        <w:rPr>
          <w:rFonts w:ascii="Tahoma" w:hAnsi="Tahoma" w:cs="Tahoma"/>
          <w:sz w:val="22"/>
          <w:szCs w:val="22"/>
        </w:rPr>
        <w:t>pdf</w:t>
      </w:r>
      <w:proofErr w:type="spellEnd"/>
      <w:r w:rsidRPr="00775F19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775F19">
        <w:rPr>
          <w:rFonts w:ascii="Tahoma" w:hAnsi="Tahoma" w:cs="Tahoma"/>
          <w:sz w:val="22"/>
          <w:szCs w:val="22"/>
        </w:rPr>
        <w:t>dwg</w:t>
      </w:r>
      <w:proofErr w:type="spellEnd"/>
      <w:r w:rsidRPr="00775F19">
        <w:rPr>
          <w:rFonts w:ascii="Tahoma" w:hAnsi="Tahoma" w:cs="Tahoma"/>
          <w:sz w:val="22"/>
          <w:szCs w:val="22"/>
        </w:rPr>
        <w:t>,</w:t>
      </w:r>
    </w:p>
    <w:p w14:paraId="4E781055" w14:textId="2FEF0EC2" w:rsidR="00644C3A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Pr="00644C3A">
        <w:rPr>
          <w:rFonts w:ascii="Tahoma" w:hAnsi="Tahoma" w:cs="Tahoma"/>
          <w:sz w:val="22"/>
          <w:szCs w:val="22"/>
        </w:rPr>
        <w:t xml:space="preserve"> 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 xml:space="preserve">vyhotoveních a 2x </w:t>
      </w:r>
      <w:r w:rsidR="00293783">
        <w:rPr>
          <w:rFonts w:ascii="Tahoma" w:hAnsi="Tahoma" w:cs="Tahoma"/>
          <w:sz w:val="22"/>
          <w:szCs w:val="22"/>
        </w:rPr>
        <w:t xml:space="preserve">elektronicky </w:t>
      </w:r>
      <w:r w:rsidR="00293783" w:rsidRPr="00775F19">
        <w:rPr>
          <w:rFonts w:ascii="Tahoma" w:hAnsi="Tahoma" w:cs="Tahoma"/>
          <w:sz w:val="22"/>
          <w:szCs w:val="22"/>
        </w:rPr>
        <w:t>na</w:t>
      </w:r>
      <w:r w:rsidR="00293783">
        <w:rPr>
          <w:rFonts w:ascii="Tahoma" w:hAnsi="Tahoma" w:cs="Tahoma"/>
          <w:sz w:val="22"/>
          <w:szCs w:val="22"/>
        </w:rPr>
        <w:t> přenosném datovém</w:t>
      </w:r>
      <w:r w:rsidR="008A768D">
        <w:rPr>
          <w:rFonts w:ascii="Tahoma" w:hAnsi="Tahoma" w:cs="Tahoma"/>
          <w:sz w:val="22"/>
          <w:szCs w:val="22"/>
        </w:rPr>
        <w:t xml:space="preserve"> nosiči</w:t>
      </w:r>
      <w:r w:rsidR="00DC6A31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ve formátu pro texty *.doc</w:t>
      </w:r>
      <w:r w:rsidR="00F701ED">
        <w:rPr>
          <w:rFonts w:ascii="Tahoma" w:hAnsi="Tahoma" w:cs="Tahoma"/>
          <w:sz w:val="22"/>
          <w:szCs w:val="22"/>
        </w:rPr>
        <w:t>/</w:t>
      </w:r>
      <w:proofErr w:type="spellStart"/>
      <w:r w:rsidR="00F701ED">
        <w:rPr>
          <w:rFonts w:ascii="Tahoma" w:hAnsi="Tahoma" w:cs="Tahoma"/>
          <w:sz w:val="22"/>
          <w:szCs w:val="22"/>
        </w:rPr>
        <w:t>docx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="00081825">
        <w:rPr>
          <w:rFonts w:ascii="Tahoma" w:hAnsi="Tahoma" w:cs="Tahoma"/>
          <w:sz w:val="22"/>
          <w:szCs w:val="22"/>
        </w:rPr>
        <w:t>/</w:t>
      </w:r>
      <w:proofErr w:type="spellStart"/>
      <w:r w:rsidR="00081825">
        <w:rPr>
          <w:rFonts w:ascii="Tahoma" w:hAnsi="Tahoma" w:cs="Tahoma"/>
          <w:sz w:val="22"/>
          <w:szCs w:val="22"/>
        </w:rPr>
        <w:t>xls</w:t>
      </w:r>
      <w:r w:rsidR="00F07EC2">
        <w:rPr>
          <w:rFonts w:ascii="Tahoma" w:hAnsi="Tahoma" w:cs="Tahoma"/>
          <w:sz w:val="22"/>
          <w:szCs w:val="22"/>
        </w:rPr>
        <w:t>x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</w:t>
      </w:r>
      <w:r w:rsidR="00DB7F97">
        <w:rPr>
          <w:rFonts w:ascii="Tahoma" w:hAnsi="Tahoma" w:cs="Tahoma"/>
          <w:sz w:val="22"/>
          <w:szCs w:val="22"/>
        </w:rPr>
        <w:t>en nosič</w:t>
      </w:r>
      <w:r w:rsidR="00FE4A8F" w:rsidRPr="00644C3A">
        <w:rPr>
          <w:rFonts w:ascii="Tahoma" w:hAnsi="Tahoma" w:cs="Tahoma"/>
          <w:sz w:val="22"/>
          <w:szCs w:val="22"/>
        </w:rPr>
        <w:t xml:space="preserve"> nebude obsahovat rozpočty, tato skutečnost bude na </w:t>
      </w:r>
      <w:r w:rsidR="00917416">
        <w:rPr>
          <w:rFonts w:ascii="Tahoma" w:hAnsi="Tahoma" w:cs="Tahoma"/>
          <w:sz w:val="22"/>
          <w:szCs w:val="22"/>
        </w:rPr>
        <w:t>nosiči</w:t>
      </w:r>
      <w:r w:rsidR="00FE4A8F" w:rsidRPr="00644C3A">
        <w:rPr>
          <w:rFonts w:ascii="Tahoma" w:hAnsi="Tahoma" w:cs="Tahoma"/>
          <w:sz w:val="22"/>
          <w:szCs w:val="22"/>
        </w:rPr>
        <w:t xml:space="preserve"> zřetelně označena).</w:t>
      </w:r>
    </w:p>
    <w:p w14:paraId="718BD240" w14:textId="496AA8EB" w:rsidR="003E2B3F" w:rsidRPr="00E27F6F" w:rsidRDefault="00293783" w:rsidP="00E27F6F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357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Typ datového</w:t>
      </w:r>
      <w:r w:rsidR="00A55BE2">
        <w:rPr>
          <w:rFonts w:ascii="Tahoma" w:hAnsi="Tahoma" w:cs="Tahoma"/>
          <w:snapToGrid w:val="0"/>
          <w:sz w:val="22"/>
          <w:szCs w:val="22"/>
        </w:rPr>
        <w:t xml:space="preserve"> nosiče si smluvní strany dohodnou před předáním díla (např. CD, USB </w:t>
      </w:r>
      <w:proofErr w:type="spellStart"/>
      <w:r w:rsidR="00A55BE2">
        <w:rPr>
          <w:rFonts w:ascii="Tahoma" w:hAnsi="Tahoma" w:cs="Tahoma"/>
          <w:snapToGrid w:val="0"/>
          <w:sz w:val="22"/>
          <w:szCs w:val="22"/>
        </w:rPr>
        <w:t>flash</w:t>
      </w:r>
      <w:proofErr w:type="spellEnd"/>
      <w:r w:rsidR="00A55BE2">
        <w:rPr>
          <w:rFonts w:ascii="Tahoma" w:hAnsi="Tahoma" w:cs="Tahoma"/>
          <w:snapToGrid w:val="0"/>
          <w:sz w:val="22"/>
          <w:szCs w:val="22"/>
        </w:rPr>
        <w:t xml:space="preserve"> disk).</w:t>
      </w:r>
    </w:p>
    <w:p w14:paraId="2FC9D4A0" w14:textId="77777777" w:rsidR="00644C3A" w:rsidRPr="00080BAF" w:rsidRDefault="00644C3A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 xml:space="preserve">) zpracovaný s ohledem na druh a velikost stavby tak, aby plně vyhovoval potřebám zajištění bezpečné a zdraví neohrožující práce. V plánu BOZP budou uvedena potřebná opatření z hlediska </w:t>
      </w:r>
      <w:r w:rsidRPr="00080BAF">
        <w:rPr>
          <w:rFonts w:ascii="Tahoma" w:hAnsi="Tahoma" w:cs="Tahoma"/>
          <w:sz w:val="22"/>
          <w:szCs w:val="22"/>
        </w:rPr>
        <w:lastRenderedPageBreak/>
        <w:t>časové potřeby i způsobu provedení.</w:t>
      </w:r>
    </w:p>
    <w:p w14:paraId="21A006D5" w14:textId="77777777" w:rsidR="00644C3A" w:rsidRPr="00080BAF" w:rsidRDefault="54FC16BD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A26C08E" w14:textId="661E5561" w:rsidR="00BE2CB8" w:rsidRPr="00815226" w:rsidRDefault="126431BA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20E3AF27">
        <w:rPr>
          <w:rFonts w:ascii="Tahoma" w:hAnsi="Tahoma" w:cs="Tahoma"/>
          <w:sz w:val="22"/>
          <w:szCs w:val="22"/>
        </w:rPr>
        <w:t>(tj. dokončit a</w:t>
      </w:r>
      <w:r w:rsidRPr="20E3AF27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20E3AF27">
        <w:rPr>
          <w:rFonts w:ascii="Tahoma" w:hAnsi="Tahoma" w:cs="Tahoma"/>
          <w:sz w:val="22"/>
          <w:szCs w:val="22"/>
        </w:rPr>
        <w:t>) zaměření, průzkumy a</w:t>
      </w:r>
      <w:r w:rsidR="1DA2D405" w:rsidRPr="20E3AF27">
        <w:rPr>
          <w:rFonts w:ascii="Tahoma" w:hAnsi="Tahoma" w:cs="Tahoma"/>
          <w:sz w:val="22"/>
          <w:szCs w:val="22"/>
        </w:rPr>
        <w:t> </w:t>
      </w:r>
      <w:r w:rsidRPr="20E3AF27">
        <w:rPr>
          <w:rFonts w:ascii="Tahoma" w:hAnsi="Tahoma" w:cs="Tahoma"/>
          <w:sz w:val="22"/>
          <w:szCs w:val="22"/>
        </w:rPr>
        <w:t>projektovou dokumentaci</w:t>
      </w:r>
      <w:r w:rsidR="219698FD" w:rsidRPr="20E3AF27">
        <w:rPr>
          <w:rFonts w:ascii="Tahoma" w:hAnsi="Tahoma" w:cs="Tahoma"/>
          <w:sz w:val="22"/>
          <w:szCs w:val="22"/>
        </w:rPr>
        <w:t xml:space="preserve"> dle čl. III odst. 2 </w:t>
      </w:r>
      <w:proofErr w:type="gramStart"/>
      <w:r w:rsidR="219698FD" w:rsidRPr="20E3AF27">
        <w:rPr>
          <w:rFonts w:ascii="Tahoma" w:hAnsi="Tahoma" w:cs="Tahoma"/>
          <w:sz w:val="22"/>
          <w:szCs w:val="22"/>
        </w:rPr>
        <w:t>této</w:t>
      </w:r>
      <w:proofErr w:type="gramEnd"/>
      <w:r w:rsidR="219698FD" w:rsidRPr="20E3AF27">
        <w:rPr>
          <w:rFonts w:ascii="Tahoma" w:hAnsi="Tahoma" w:cs="Tahoma"/>
          <w:sz w:val="22"/>
          <w:szCs w:val="22"/>
        </w:rPr>
        <w:t xml:space="preserve"> smlouvy</w:t>
      </w:r>
      <w:r w:rsidRPr="20E3AF27">
        <w:rPr>
          <w:rFonts w:ascii="Tahoma" w:hAnsi="Tahoma" w:cs="Tahoma"/>
          <w:sz w:val="22"/>
          <w:szCs w:val="22"/>
        </w:rPr>
        <w:t xml:space="preserve"> </w:t>
      </w:r>
      <w:r w:rsidRPr="007C110B">
        <w:rPr>
          <w:rFonts w:ascii="Tahoma" w:hAnsi="Tahoma" w:cs="Tahoma"/>
          <w:b/>
          <w:bCs/>
          <w:sz w:val="22"/>
          <w:szCs w:val="22"/>
        </w:rPr>
        <w:t>do </w:t>
      </w:r>
      <w:r w:rsidR="00661BED">
        <w:rPr>
          <w:rFonts w:ascii="Tahoma" w:hAnsi="Tahoma" w:cs="Tahoma"/>
          <w:b/>
          <w:bCs/>
          <w:sz w:val="22"/>
          <w:szCs w:val="22"/>
        </w:rPr>
        <w:t>12</w:t>
      </w:r>
      <w:r w:rsidR="00815226" w:rsidRPr="007C110B">
        <w:rPr>
          <w:rFonts w:ascii="Tahoma" w:hAnsi="Tahoma" w:cs="Tahoma"/>
          <w:b/>
          <w:bCs/>
          <w:sz w:val="22"/>
          <w:szCs w:val="22"/>
        </w:rPr>
        <w:t xml:space="preserve">0 </w:t>
      </w:r>
      <w:r w:rsidRPr="007C110B">
        <w:rPr>
          <w:rFonts w:ascii="Tahoma" w:hAnsi="Tahoma" w:cs="Tahoma"/>
          <w:b/>
          <w:sz w:val="22"/>
          <w:szCs w:val="22"/>
        </w:rPr>
        <w:t>dnů</w:t>
      </w:r>
      <w:r w:rsidRPr="007C110B">
        <w:rPr>
          <w:rFonts w:ascii="Tahoma" w:hAnsi="Tahoma" w:cs="Tahoma"/>
          <w:sz w:val="22"/>
          <w:szCs w:val="22"/>
        </w:rPr>
        <w:t xml:space="preserve"> </w:t>
      </w:r>
      <w:r w:rsidRPr="00815226">
        <w:rPr>
          <w:rFonts w:ascii="Tahoma" w:hAnsi="Tahoma" w:cs="Tahoma"/>
          <w:sz w:val="22"/>
          <w:szCs w:val="22"/>
        </w:rPr>
        <w:t>ode dne nabytí účinnosti této smlouvy.</w:t>
      </w:r>
    </w:p>
    <w:p w14:paraId="4345086A" w14:textId="2CEF9945" w:rsidR="00A54991" w:rsidRDefault="00A54991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Místem plnění pro předání díla je</w:t>
      </w:r>
      <w:r w:rsidRPr="00681C96">
        <w:rPr>
          <w:rFonts w:ascii="Tahoma" w:hAnsi="Tahoma" w:cs="Tahoma"/>
          <w:sz w:val="22"/>
          <w:szCs w:val="22"/>
        </w:rPr>
        <w:t xml:space="preserve"> </w:t>
      </w:r>
      <w:r w:rsidR="00681C96" w:rsidRPr="00681C96">
        <w:rPr>
          <w:rFonts w:ascii="Tahoma" w:hAnsi="Tahoma" w:cs="Tahoma"/>
          <w:sz w:val="22"/>
          <w:szCs w:val="22"/>
        </w:rPr>
        <w:t>budova Matičního gymnázia, Ostrava, příspěvková organizace, Dr. Šmerala 2565/25, 702 00 Ostrava</w:t>
      </w:r>
      <w:r w:rsidR="0024100D">
        <w:rPr>
          <w:rFonts w:ascii="Tahoma" w:hAnsi="Tahoma" w:cs="Tahoma"/>
          <w:sz w:val="22"/>
          <w:szCs w:val="22"/>
        </w:rPr>
        <w:t>.</w:t>
      </w:r>
    </w:p>
    <w:p w14:paraId="7ED7BA70" w14:textId="32843648" w:rsidR="007C110B" w:rsidRPr="00080BAF" w:rsidRDefault="007C110B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Zhotovitel je povinen bezprostředně po zahájení prací na díle dle čl. III </w:t>
      </w:r>
      <w:proofErr w:type="gramStart"/>
      <w:r>
        <w:rPr>
          <w:rFonts w:ascii="Tahoma" w:hAnsi="Tahoma" w:cs="Tahoma"/>
          <w:sz w:val="22"/>
          <w:szCs w:val="22"/>
        </w:rPr>
        <w:t>této</w:t>
      </w:r>
      <w:proofErr w:type="gramEnd"/>
      <w:r>
        <w:rPr>
          <w:rFonts w:ascii="Tahoma" w:hAnsi="Tahoma" w:cs="Tahoma"/>
          <w:sz w:val="22"/>
          <w:szCs w:val="22"/>
        </w:rPr>
        <w:t xml:space="preserve"> smlouvy oznámit tuto skutečnost MSDC, a to e-mailem na adresu: infosdc.cz.</w:t>
      </w:r>
    </w:p>
    <w:p w14:paraId="4A6096B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5FC6FA0E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5EAE371C" w:rsidR="00BE2CB8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 </w:t>
      </w:r>
      <w:r w:rsidR="00815226">
        <w:rPr>
          <w:rFonts w:ascii="Tahoma" w:hAnsi="Tahoma" w:cs="Tahoma"/>
          <w:sz w:val="22"/>
          <w:szCs w:val="22"/>
        </w:rPr>
        <w:t>10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7D8E1F8D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……………… </w:t>
      </w:r>
      <w:r w:rsidR="00D70043" w:rsidRPr="00D16CC6">
        <w:rPr>
          <w:rFonts w:ascii="Tahoma" w:hAnsi="Tahoma" w:cs="Tahoma"/>
          <w:i/>
          <w:color w:val="FF0000"/>
          <w:sz w:val="22"/>
          <w:szCs w:val="22"/>
        </w:rPr>
        <w:t>(doplní zhotovitel)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V případě, že zhotovitel obdrží dotaz přímo od účastníka zadávacího řízení na výběr zhotovitele stavby, není oprávněn sám vysvětlení poskytnout, ale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toto vysvětlení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musí bezodkladně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poskytnout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>objednatel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15233E54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041ACBA6" w14:textId="58BE8670" w:rsidR="007C110B" w:rsidRDefault="007C110B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zapracovat do PD požadavky MSDC na slaboproudé rozvody v souladu se Standardem konektivity škol a školských zařízení, průběžně komunikovat s MSDC ohledně zapracování těchto požadavků.</w:t>
      </w:r>
    </w:p>
    <w:p w14:paraId="5C382852" w14:textId="40CF4024" w:rsidR="00974006" w:rsidRPr="00070179" w:rsidRDefault="00974006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</w:t>
      </w:r>
      <w:proofErr w:type="spellStart"/>
      <w:r w:rsidRPr="00080BAF">
        <w:rPr>
          <w:rFonts w:ascii="Tahoma" w:hAnsi="Tahoma" w:cs="Tahoma"/>
          <w:sz w:val="22"/>
          <w:szCs w:val="22"/>
        </w:rPr>
        <w:t>napojovací</w:t>
      </w:r>
      <w:proofErr w:type="spellEnd"/>
      <w:r w:rsidRPr="00080BAF">
        <w:rPr>
          <w:rFonts w:ascii="Tahoma" w:hAnsi="Tahoma" w:cs="Tahoma"/>
          <w:sz w:val="22"/>
          <w:szCs w:val="22"/>
        </w:rPr>
        <w:t xml:space="preserve">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691329ED" w14:textId="77777777" w:rsidR="00EA4C69" w:rsidRPr="006C7AEF" w:rsidRDefault="00EA4C69" w:rsidP="00C16FF0">
      <w:pPr>
        <w:pStyle w:val="NzevlnkuSmlouvy"/>
        <w:spacing w:before="120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bookmarkStart w:id="6" w:name="_Hlk46392749"/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A</w:t>
      </w:r>
      <w:r w:rsidRPr="006C7AEF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– pro plátce DPH</w:t>
      </w:r>
    </w:p>
    <w:p w14:paraId="1848F263" w14:textId="0867E0DB" w:rsidR="000978B9" w:rsidRPr="000978B9" w:rsidRDefault="000978B9" w:rsidP="007C158D">
      <w:pPr>
        <w:pStyle w:val="OdstavecSmlouvy"/>
        <w:keepNext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1877218" w14:textId="50563E8A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C2739E">
        <w:rPr>
          <w:rFonts w:ascii="Tahoma" w:hAnsi="Tahoma" w:cs="Tahoma"/>
          <w:sz w:val="22"/>
          <w:szCs w:val="22"/>
        </w:rPr>
        <w:t>………… </w:t>
      </w:r>
      <w:r>
        <w:rPr>
          <w:rFonts w:ascii="Tahoma" w:hAnsi="Tahoma" w:cs="Tahoma"/>
          <w:sz w:val="22"/>
          <w:szCs w:val="22"/>
        </w:rPr>
        <w:t>Kč</w:t>
      </w:r>
    </w:p>
    <w:p w14:paraId="0430CA0E" w14:textId="5238CADF" w:rsidR="000978B9" w:rsidRDefault="000978B9" w:rsidP="007458AB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</w:r>
      <w:r w:rsidR="007458AB">
        <w:rPr>
          <w:rFonts w:ascii="Tahoma" w:hAnsi="Tahoma" w:cs="Tahoma"/>
          <w:sz w:val="22"/>
          <w:szCs w:val="22"/>
        </w:rPr>
        <w:t xml:space="preserve">  </w:t>
      </w:r>
      <w:r w:rsidR="00C2739E">
        <w:rPr>
          <w:rFonts w:ascii="Tahoma" w:hAnsi="Tahoma" w:cs="Tahoma"/>
          <w:sz w:val="22"/>
          <w:szCs w:val="22"/>
        </w:rPr>
        <w:t>………… </w:t>
      </w:r>
      <w:r>
        <w:rPr>
          <w:rFonts w:ascii="Tahoma" w:hAnsi="Tahoma" w:cs="Tahoma"/>
          <w:sz w:val="22"/>
          <w:szCs w:val="22"/>
        </w:rPr>
        <w:t>Kč</w:t>
      </w:r>
    </w:p>
    <w:p w14:paraId="5EC42B90" w14:textId="05DF696E" w:rsidR="000978B9" w:rsidRDefault="000978B9" w:rsidP="007458AB">
      <w:pPr>
        <w:pStyle w:val="Zkladntextodsazen2"/>
        <w:tabs>
          <w:tab w:val="right" w:pos="4395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7458AB">
        <w:rPr>
          <w:rFonts w:ascii="Tahoma" w:hAnsi="Tahoma" w:cs="Tahoma"/>
          <w:sz w:val="22"/>
          <w:szCs w:val="22"/>
        </w:rPr>
        <w:t xml:space="preserve"> </w:t>
      </w:r>
      <w:r w:rsidR="007458AB">
        <w:rPr>
          <w:rFonts w:ascii="Tahoma" w:hAnsi="Tahoma" w:cs="Tahoma"/>
          <w:sz w:val="22"/>
          <w:szCs w:val="22"/>
        </w:rPr>
        <w:tab/>
        <w:t>.</w:t>
      </w:r>
      <w:r w:rsidR="00C2739E">
        <w:rPr>
          <w:rFonts w:ascii="Tahoma" w:hAnsi="Tahoma" w:cs="Tahoma"/>
          <w:sz w:val="22"/>
          <w:szCs w:val="22"/>
        </w:rPr>
        <w:t>………</w:t>
      </w:r>
      <w:r w:rsidR="007458AB">
        <w:rPr>
          <w:rFonts w:ascii="Tahoma" w:hAnsi="Tahoma" w:cs="Tahoma"/>
          <w:sz w:val="22"/>
          <w:szCs w:val="22"/>
        </w:rPr>
        <w:t>.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>Kč</w:t>
      </w:r>
      <w:r w:rsidR="004D57E5">
        <w:rPr>
          <w:rFonts w:ascii="Tahoma" w:hAnsi="Tahoma" w:cs="Tahoma"/>
          <w:b/>
          <w:sz w:val="22"/>
          <w:szCs w:val="22"/>
        </w:rPr>
        <w:t> </w:t>
      </w:r>
    </w:p>
    <w:p w14:paraId="4BE8BA61" w14:textId="19AD0D15" w:rsidR="00394FA7" w:rsidRPr="00C16FF0" w:rsidRDefault="00394FA7" w:rsidP="00C16FF0">
      <w:pPr>
        <w:pStyle w:val="NzevlnkuSmlouvy"/>
        <w:spacing w:before="120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r w:rsidRPr="00C16FF0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B – pro neplátce DPH</w:t>
      </w:r>
    </w:p>
    <w:p w14:paraId="1A6CEB1B" w14:textId="77777777" w:rsidR="00C16FF0" w:rsidRDefault="00394FA7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iCs/>
          <w:snapToGrid w:val="0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1.</w:t>
      </w:r>
      <w:r w:rsidRPr="006C7AEF">
        <w:rPr>
          <w:rFonts w:ascii="Tahoma" w:hAnsi="Tahoma" w:cs="Tahoma"/>
          <w:iCs/>
          <w:snapToGrid w:val="0"/>
          <w:sz w:val="22"/>
          <w:szCs w:val="22"/>
        </w:rPr>
        <w:tab/>
        <w:t xml:space="preserve">Cena díla je stanovena dohodou smluvních stran a činí </w:t>
      </w:r>
      <w:r w:rsidRPr="004142D5">
        <w:rPr>
          <w:rFonts w:ascii="Tahoma" w:hAnsi="Tahoma" w:cs="Tahoma"/>
          <w:b/>
          <w:iCs/>
          <w:snapToGrid w:val="0"/>
          <w:sz w:val="22"/>
          <w:szCs w:val="22"/>
        </w:rPr>
        <w:t>…………. Kč.</w:t>
      </w:r>
    </w:p>
    <w:p w14:paraId="7B0164F5" w14:textId="497706E9" w:rsidR="00394FA7" w:rsidRDefault="00394FA7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iCs/>
          <w:snapToGrid w:val="0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lastRenderedPageBreak/>
        <w:t>Zhotovitel prohlašuje, že není plátcem DPH.</w:t>
      </w:r>
    </w:p>
    <w:p w14:paraId="3FBF104B" w14:textId="12127BA2" w:rsidR="00394FA7" w:rsidRPr="00D16CC6" w:rsidRDefault="004D57E5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851" w:hanging="851"/>
        <w:rPr>
          <w:rFonts w:ascii="Tahoma" w:hAnsi="Tahoma" w:cs="Tahoma"/>
          <w:i/>
          <w:iCs/>
          <w:snapToGrid w:val="0"/>
          <w:color w:val="FF0000"/>
          <w:sz w:val="22"/>
          <w:szCs w:val="22"/>
        </w:rPr>
      </w:pPr>
      <w:bookmarkStart w:id="7" w:name="_Hlk46307400"/>
      <w:r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POZN.:</w:t>
      </w:r>
      <w:r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ab/>
      </w:r>
      <w:r w:rsidR="00C16FF0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Z</w:t>
      </w:r>
      <w:r w:rsidR="00394FA7"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hotovitel vybere relevantní variantu a doplní výši ceny za dílo</w:t>
      </w:r>
      <w:r w:rsidR="00C16FF0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.</w:t>
      </w:r>
    </w:p>
    <w:bookmarkEnd w:id="6"/>
    <w:bookmarkEnd w:id="7"/>
    <w:p w14:paraId="66ACE04F" w14:textId="04B5F9E7" w:rsidR="000978B9" w:rsidRPr="00080BAF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8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8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0F173DE8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F742DA" w:rsidRPr="09EA2129">
        <w:rPr>
          <w:rFonts w:ascii="Tahoma" w:hAnsi="Tahoma" w:cs="Tahoma"/>
          <w:sz w:val="22"/>
          <w:szCs w:val="22"/>
        </w:rPr>
        <w:t>Z</w:t>
      </w:r>
      <w:r w:rsidRPr="09EA2129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7458AB">
        <w:rPr>
          <w:rFonts w:ascii="Tahoma" w:hAnsi="Tahoma" w:cs="Tahoma"/>
          <w:sz w:val="22"/>
          <w:szCs w:val="22"/>
        </w:rPr>
        <w:t>Rekonstrukce elektroinstalace</w:t>
      </w:r>
      <w:r w:rsidRPr="007458AB">
        <w:rPr>
          <w:rFonts w:ascii="Tahoma" w:hAnsi="Tahoma" w:cs="Tahoma"/>
          <w:sz w:val="22"/>
          <w:szCs w:val="22"/>
        </w:rPr>
        <w:t>“</w:t>
      </w:r>
      <w:r w:rsidRPr="09EA2129">
        <w:rPr>
          <w:rFonts w:ascii="Tahoma" w:hAnsi="Tahoma" w:cs="Tahoma"/>
          <w:sz w:val="22"/>
          <w:szCs w:val="22"/>
        </w:rPr>
        <w:t>,</w:t>
      </w:r>
    </w:p>
    <w:p w14:paraId="416D7A2B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080BAF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 w:rsidR="00583ED1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</w:t>
      </w:r>
      <w:r w:rsidR="00583ED1">
        <w:rPr>
          <w:rFonts w:ascii="Tahoma" w:hAnsi="Tahoma" w:cs="Tahoma"/>
          <w:sz w:val="22"/>
          <w:szCs w:val="22"/>
        </w:rPr>
        <w:lastRenderedPageBreak/>
        <w:t>vrácené vadné faktury.</w:t>
      </w:r>
    </w:p>
    <w:p w14:paraId="4C9A817E" w14:textId="45BEB394" w:rsidR="00F24AA7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9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zhotovitel bude ke dni poskytnutí úplaty nebo ke dni uskutečnění zdanitelného plnění </w:t>
      </w:r>
      <w:r w:rsidRPr="00591207">
        <w:rPr>
          <w:rFonts w:ascii="Tahoma" w:hAnsi="Tahoma" w:cs="Tahoma"/>
          <w:sz w:val="22"/>
          <w:szCs w:val="22"/>
        </w:rPr>
        <w:t>zveřejněn v aplikaci „Registr DPH“ jako nespolehlivý plátce, nebo</w:t>
      </w:r>
    </w:p>
    <w:p w14:paraId="0E7E14D7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1207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5F2471D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1207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9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1B3FF5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4F0E0C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</w:t>
      </w:r>
      <w:r w:rsidR="00C83927" w:rsidRPr="00746252">
        <w:rPr>
          <w:rFonts w:ascii="Tahoma" w:hAnsi="Tahoma" w:cs="Tahoma"/>
          <w:sz w:val="22"/>
          <w:szCs w:val="22"/>
        </w:rPr>
        <w:lastRenderedPageBreak/>
        <w:t xml:space="preserve">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3AC2BF20" w14:textId="71BEBADB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vyjádření</w:t>
      </w:r>
      <w:r w:rsidR="37375128" w:rsidRPr="20E3AF27">
        <w:rPr>
          <w:rFonts w:ascii="Tahoma" w:hAnsi="Tahoma" w:cs="Tahoma"/>
          <w:sz w:val="22"/>
          <w:szCs w:val="22"/>
        </w:rPr>
        <w:t xml:space="preserve"> </w:t>
      </w:r>
      <w:r w:rsidR="4ABB8828" w:rsidRPr="20E3AF27">
        <w:rPr>
          <w:rFonts w:ascii="Tahoma" w:hAnsi="Tahoma" w:cs="Tahoma"/>
          <w:sz w:val="22"/>
          <w:szCs w:val="22"/>
        </w:rPr>
        <w:t>při </w:t>
      </w:r>
      <w:r w:rsidRPr="20E3AF27">
        <w:rPr>
          <w:rFonts w:ascii="Tahoma" w:hAnsi="Tahoma" w:cs="Tahoma"/>
          <w:sz w:val="22"/>
          <w:szCs w:val="22"/>
        </w:rPr>
        <w:t>po</w:t>
      </w:r>
      <w:r w:rsidR="4ABB8828" w:rsidRPr="20E3AF27">
        <w:rPr>
          <w:rFonts w:ascii="Tahoma" w:hAnsi="Tahoma" w:cs="Tahoma"/>
          <w:sz w:val="22"/>
          <w:szCs w:val="22"/>
        </w:rPr>
        <w:t>žadavcích zhotovitele stavby na </w:t>
      </w:r>
      <w:r w:rsidRPr="20E3AF27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20E3AF27">
        <w:rPr>
          <w:rFonts w:ascii="Tahoma" w:hAnsi="Tahoma" w:cs="Tahoma"/>
          <w:sz w:val="22"/>
          <w:szCs w:val="22"/>
        </w:rPr>
        <w:t xml:space="preserve"> a</w:t>
      </w:r>
      <w:r w:rsidR="4ABB8828" w:rsidRPr="20E3AF27">
        <w:rPr>
          <w:rFonts w:ascii="Tahoma" w:hAnsi="Tahoma" w:cs="Tahoma"/>
          <w:sz w:val="22"/>
          <w:szCs w:val="22"/>
        </w:rPr>
        <w:t> </w:t>
      </w:r>
      <w:r w:rsidR="37375128" w:rsidRPr="20E3AF27">
        <w:rPr>
          <w:rFonts w:ascii="Tahoma" w:hAnsi="Tahoma" w:cs="Tahoma"/>
          <w:sz w:val="22"/>
          <w:szCs w:val="22"/>
        </w:rPr>
        <w:t>soupisu prací</w:t>
      </w:r>
      <w:r w:rsidR="2372F573" w:rsidRPr="20E3AF27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</w:t>
      </w:r>
      <w:r w:rsidR="4ABB8828" w:rsidRPr="20E3AF27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</w:t>
      </w:r>
      <w:r w:rsidR="0BCAC390" w:rsidRPr="20E3AF27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20E3AF27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1A373D9E" w:rsidR="00A54991" w:rsidRPr="00080BAF" w:rsidRDefault="00336A49" w:rsidP="007C15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6ECAE157">
        <w:rPr>
          <w:rFonts w:ascii="Tahoma" w:hAnsi="Tahoma" w:cs="Tahoma"/>
          <w:sz w:val="22"/>
          <w:szCs w:val="22"/>
        </w:rPr>
        <w:t>bude prováděn po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celou dobu realizace stavby. Bude zahájen po</w:t>
      </w:r>
      <w:r w:rsidRPr="6ECAE157">
        <w:rPr>
          <w:rFonts w:ascii="Tahoma" w:hAnsi="Tahoma" w:cs="Tahoma"/>
          <w:sz w:val="22"/>
          <w:szCs w:val="22"/>
        </w:rPr>
        <w:t> započetí realizace stavby na </w:t>
      </w:r>
      <w:r w:rsidR="00A54991" w:rsidRPr="6ECAE157">
        <w:rPr>
          <w:rFonts w:ascii="Tahoma" w:hAnsi="Tahoma" w:cs="Tahoma"/>
          <w:sz w:val="22"/>
          <w:szCs w:val="22"/>
        </w:rPr>
        <w:t xml:space="preserve">písemnou výzvu </w:t>
      </w:r>
      <w:r w:rsidR="00656C88" w:rsidRPr="6ECAE157">
        <w:rPr>
          <w:rFonts w:ascii="Tahoma" w:hAnsi="Tahoma" w:cs="Tahoma"/>
          <w:sz w:val="22"/>
          <w:szCs w:val="22"/>
        </w:rPr>
        <w:t>p</w:t>
      </w:r>
      <w:r w:rsidR="001349ED" w:rsidRPr="6ECAE157">
        <w:rPr>
          <w:rFonts w:ascii="Tahoma" w:hAnsi="Tahoma" w:cs="Tahoma"/>
          <w:sz w:val="22"/>
          <w:szCs w:val="22"/>
        </w:rPr>
        <w:t>říkazce</w:t>
      </w:r>
      <w:r w:rsidR="00ED604E" w:rsidRPr="6ECAE157">
        <w:rPr>
          <w:rFonts w:ascii="Tahoma" w:hAnsi="Tahoma" w:cs="Tahoma"/>
          <w:sz w:val="22"/>
          <w:szCs w:val="22"/>
        </w:rPr>
        <w:t xml:space="preserve"> </w:t>
      </w:r>
      <w:r w:rsidR="00A54991" w:rsidRPr="6ECAE157">
        <w:rPr>
          <w:rFonts w:ascii="Tahoma" w:hAnsi="Tahoma" w:cs="Tahoma"/>
          <w:sz w:val="22"/>
          <w:szCs w:val="22"/>
        </w:rPr>
        <w:t>a ukončen v okam</w:t>
      </w:r>
      <w:r w:rsidRPr="6ECAE157">
        <w:rPr>
          <w:rFonts w:ascii="Tahoma" w:hAnsi="Tahoma" w:cs="Tahoma"/>
          <w:sz w:val="22"/>
          <w:szCs w:val="22"/>
        </w:rPr>
        <w:t>žiku, kdy bude v </w:t>
      </w:r>
      <w:r w:rsidR="00A54991" w:rsidRPr="6ECAE157">
        <w:rPr>
          <w:rFonts w:ascii="Tahoma" w:hAnsi="Tahoma" w:cs="Tahoma"/>
          <w:sz w:val="22"/>
          <w:szCs w:val="22"/>
        </w:rPr>
        <w:t>souladu se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FE60CBD" w14:textId="77777777" w:rsidR="004E734A" w:rsidRPr="006C7AEF" w:rsidRDefault="004E734A" w:rsidP="004E734A">
      <w:pPr>
        <w:pStyle w:val="NzevlnkuSmlouvy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A</w:t>
      </w:r>
      <w:r w:rsidRPr="006C7AEF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– pro plátce DPH</w:t>
      </w:r>
    </w:p>
    <w:p w14:paraId="430DFC37" w14:textId="5E39A8F3" w:rsidR="00A54991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10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65135E2C" w14:textId="247D0D81" w:rsidR="009827A0" w:rsidRPr="009827A0" w:rsidRDefault="009827A0" w:rsidP="009827A0">
      <w:pPr>
        <w:pStyle w:val="OdstavecSmlouvy"/>
        <w:keepLines w:val="0"/>
        <w:numPr>
          <w:ilvl w:val="1"/>
          <w:numId w:val="1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I. etapa</w:t>
      </w:r>
    </w:p>
    <w:p w14:paraId="24217BA1" w14:textId="77777777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33908909" w14:textId="77777777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F64CCF3" w14:textId="6C7BD4F8" w:rsidR="00765A7F" w:rsidRDefault="00A54991" w:rsidP="004E734A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336A49" w:rsidRPr="00336A49">
        <w:rPr>
          <w:rFonts w:ascii="Tahoma" w:hAnsi="Tahoma" w:cs="Tahoma"/>
          <w:b/>
          <w:sz w:val="22"/>
          <w:szCs w:val="22"/>
        </w:rPr>
        <w:t>……………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p w14:paraId="65A61664" w14:textId="46B4501C" w:rsidR="009827A0" w:rsidRDefault="009827A0" w:rsidP="004E734A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b/>
          <w:bCs/>
          <w:sz w:val="22"/>
          <w:szCs w:val="22"/>
        </w:rPr>
      </w:pPr>
    </w:p>
    <w:p w14:paraId="0E722215" w14:textId="42FA384B" w:rsidR="009827A0" w:rsidRPr="009827A0" w:rsidRDefault="009827A0" w:rsidP="009827A0">
      <w:pPr>
        <w:pStyle w:val="Zkladntextodsazen2"/>
        <w:numPr>
          <w:ilvl w:val="1"/>
          <w:numId w:val="18"/>
        </w:numPr>
        <w:tabs>
          <w:tab w:val="left" w:pos="3402"/>
        </w:tabs>
        <w:rPr>
          <w:snapToGrid w:val="0"/>
        </w:rPr>
      </w:pPr>
      <w:r w:rsidRPr="009827A0">
        <w:rPr>
          <w:rFonts w:ascii="Tahoma" w:hAnsi="Tahoma" w:cs="Tahoma"/>
          <w:bCs/>
          <w:sz w:val="22"/>
          <w:szCs w:val="22"/>
        </w:rPr>
        <w:t>II. etapa</w:t>
      </w:r>
    </w:p>
    <w:p w14:paraId="0D7E9F52" w14:textId="77777777" w:rsidR="009827A0" w:rsidRPr="00080BAF" w:rsidRDefault="009827A0" w:rsidP="009827A0">
      <w:pPr>
        <w:pStyle w:val="Zkladntextodsazen2"/>
        <w:tabs>
          <w:tab w:val="left" w:pos="3402"/>
        </w:tabs>
        <w:spacing w:before="120"/>
        <w:ind w:left="360" w:firstLine="34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4DB2B1F4" w14:textId="77777777" w:rsidR="009827A0" w:rsidRPr="00080BAF" w:rsidRDefault="009827A0" w:rsidP="009827A0">
      <w:pPr>
        <w:pStyle w:val="Zkladntextodsazen2"/>
        <w:tabs>
          <w:tab w:val="left" w:pos="3402"/>
        </w:tabs>
        <w:ind w:left="360" w:firstLine="349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DPH 21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5B61BB13" w14:textId="77777777" w:rsidR="009827A0" w:rsidRDefault="009827A0" w:rsidP="009827A0">
      <w:pPr>
        <w:pStyle w:val="Zkladntextodsazen2"/>
        <w:tabs>
          <w:tab w:val="left" w:pos="3402"/>
        </w:tabs>
        <w:ind w:left="360" w:firstLine="349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Pr="00336A49">
        <w:rPr>
          <w:rFonts w:ascii="Tahoma" w:hAnsi="Tahoma" w:cs="Tahoma"/>
          <w:b/>
          <w:sz w:val="22"/>
          <w:szCs w:val="22"/>
        </w:rPr>
        <w:t>……………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p w14:paraId="144E6E87" w14:textId="77777777" w:rsidR="009827A0" w:rsidRPr="009827A0" w:rsidRDefault="009827A0" w:rsidP="009827A0">
      <w:pPr>
        <w:pStyle w:val="Zkladntextodsazen2"/>
        <w:tabs>
          <w:tab w:val="left" w:pos="3402"/>
        </w:tabs>
        <w:ind w:left="1080" w:firstLine="0"/>
        <w:rPr>
          <w:snapToGrid w:val="0"/>
        </w:rPr>
      </w:pPr>
    </w:p>
    <w:bookmarkEnd w:id="10"/>
    <w:p w14:paraId="08730A7B" w14:textId="77777777" w:rsidR="004E734A" w:rsidRDefault="004E734A" w:rsidP="004E734A">
      <w:pPr>
        <w:pStyle w:val="OdstavecSmlouvy"/>
        <w:keepLines w:val="0"/>
        <w:widowControl w:val="0"/>
        <w:spacing w:before="120"/>
        <w:rPr>
          <w:rFonts w:ascii="Tahoma" w:hAnsi="Tahoma" w:cs="Tahoma"/>
          <w:i/>
          <w:iCs/>
          <w:snapToGrid w:val="0"/>
          <w:color w:val="FF0000"/>
          <w:sz w:val="22"/>
          <w:szCs w:val="22"/>
        </w:rPr>
      </w:pPr>
      <w:r w:rsidRPr="006C7AEF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VARIANTA B – pro neplátce DPH</w:t>
      </w:r>
    </w:p>
    <w:p w14:paraId="5670CBA8" w14:textId="7D86131D" w:rsidR="004E734A" w:rsidRDefault="004E734A" w:rsidP="009827A0">
      <w:pPr>
        <w:pStyle w:val="OdstavecSmlouvy"/>
        <w:keepLines w:val="0"/>
        <w:numPr>
          <w:ilvl w:val="0"/>
          <w:numId w:val="44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b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Odměna je stanovena dohodou smluvních stran </w:t>
      </w:r>
      <w:r w:rsidR="009827A0">
        <w:rPr>
          <w:rFonts w:ascii="Tahoma" w:hAnsi="Tahoma" w:cs="Tahoma"/>
          <w:sz w:val="22"/>
          <w:szCs w:val="22"/>
        </w:rPr>
        <w:t>a činí:</w:t>
      </w:r>
    </w:p>
    <w:p w14:paraId="15AE7BAD" w14:textId="0092945A" w:rsidR="009827A0" w:rsidRPr="009827A0" w:rsidRDefault="009827A0" w:rsidP="009827A0">
      <w:pPr>
        <w:pStyle w:val="OdstavecSmlouvy"/>
        <w:keepLines w:val="0"/>
        <w:numPr>
          <w:ilvl w:val="1"/>
          <w:numId w:val="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I. etapa - </w:t>
      </w:r>
      <w:r w:rsidRPr="00C37E4E">
        <w:rPr>
          <w:rFonts w:ascii="Tahoma" w:hAnsi="Tahoma" w:cs="Tahoma"/>
          <w:b/>
          <w:sz w:val="22"/>
          <w:szCs w:val="22"/>
        </w:rPr>
        <w:t>…….. Kč</w:t>
      </w:r>
    </w:p>
    <w:p w14:paraId="1251FDFD" w14:textId="752E23EE" w:rsidR="009827A0" w:rsidRPr="00080BAF" w:rsidRDefault="009827A0" w:rsidP="009827A0">
      <w:pPr>
        <w:pStyle w:val="OdstavecSmlouvy"/>
        <w:keepLines w:val="0"/>
        <w:numPr>
          <w:ilvl w:val="1"/>
          <w:numId w:val="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II. etapa - </w:t>
      </w:r>
      <w:r w:rsidRPr="00C37E4E">
        <w:rPr>
          <w:rFonts w:ascii="Tahoma" w:hAnsi="Tahoma" w:cs="Tahoma"/>
          <w:b/>
          <w:sz w:val="22"/>
          <w:szCs w:val="22"/>
        </w:rPr>
        <w:t>…….. Kč</w:t>
      </w:r>
    </w:p>
    <w:p w14:paraId="19CA4877" w14:textId="3C12548E" w:rsidR="004E734A" w:rsidRDefault="00BA2DE2" w:rsidP="00C2739E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/>
        <w:ind w:left="357"/>
        <w:rPr>
          <w:rFonts w:ascii="Tahoma" w:hAnsi="Tahoma" w:cs="Tahoma"/>
          <w:iCs/>
          <w:snapToGrid w:val="0"/>
          <w:sz w:val="22"/>
          <w:szCs w:val="22"/>
        </w:rPr>
      </w:pPr>
      <w:r>
        <w:rPr>
          <w:rFonts w:ascii="Tahoma" w:hAnsi="Tahoma" w:cs="Tahoma"/>
          <w:iCs/>
          <w:snapToGrid w:val="0"/>
          <w:sz w:val="22"/>
          <w:szCs w:val="22"/>
        </w:rPr>
        <w:t>Příkazník</w:t>
      </w:r>
      <w:r w:rsidR="004E734A" w:rsidRPr="006C7AEF">
        <w:rPr>
          <w:rFonts w:ascii="Tahoma" w:hAnsi="Tahoma" w:cs="Tahoma"/>
          <w:iCs/>
          <w:snapToGrid w:val="0"/>
          <w:sz w:val="22"/>
          <w:szCs w:val="22"/>
        </w:rPr>
        <w:t xml:space="preserve"> prohlašuje, že není plátcem DPH.</w:t>
      </w:r>
    </w:p>
    <w:p w14:paraId="004ABE59" w14:textId="42A29C68" w:rsidR="004E734A" w:rsidRPr="00D16CC6" w:rsidRDefault="004E734A" w:rsidP="004E734A">
      <w:pPr>
        <w:pStyle w:val="OdstavecSmlouvy"/>
        <w:keepLines w:val="0"/>
        <w:widowControl w:val="0"/>
        <w:spacing w:before="120"/>
        <w:rPr>
          <w:rFonts w:ascii="Tahoma" w:hAnsi="Tahoma" w:cs="Tahoma"/>
          <w:i/>
          <w:iCs/>
          <w:snapToGrid w:val="0"/>
          <w:color w:val="FF0000"/>
          <w:sz w:val="22"/>
          <w:szCs w:val="22"/>
        </w:rPr>
      </w:pPr>
      <w:r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(</w:t>
      </w:r>
      <w:r w:rsidR="00BA2DE2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příkazník</w:t>
      </w:r>
      <w:r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 xml:space="preserve"> vybere relevantní variantu a doplní výši </w:t>
      </w:r>
      <w:r w:rsidR="00C37E4E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odměny</w:t>
      </w:r>
      <w:r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)</w:t>
      </w:r>
    </w:p>
    <w:p w14:paraId="708C3CF3" w14:textId="77777777" w:rsidR="00A54991" w:rsidRPr="00080BAF" w:rsidRDefault="00A54991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1408BB" w:rsidRDefault="001408BB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3E657840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>Odměna za výkon autorského dozoru bude příkazníkovi uhrazena jednorázově po dni, od kterého bude v souladu se stavebním zákonem možné započít s trvalým užíváním stavby (tj. že bude možno stavbu trvale užívat)</w:t>
      </w:r>
      <w:r w:rsidR="004F0A52" w:rsidRPr="6ECAE157">
        <w:rPr>
          <w:rFonts w:ascii="Tahoma" w:hAnsi="Tahoma" w:cs="Tahoma"/>
          <w:sz w:val="22"/>
          <w:szCs w:val="22"/>
        </w:rPr>
        <w:t>.</w:t>
      </w:r>
    </w:p>
    <w:p w14:paraId="0DF73443" w14:textId="4544620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2E3544E9" w:rsidR="00F2650D" w:rsidRPr="00080BAF" w:rsidRDefault="00F2650D" w:rsidP="009827A0">
      <w:pPr>
        <w:pStyle w:val="slovanPododstavecSmlouvy"/>
        <w:numPr>
          <w:ilvl w:val="0"/>
          <w:numId w:val="45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</w:t>
      </w:r>
    </w:p>
    <w:p w14:paraId="1706FFF4" w14:textId="3505E656" w:rsidR="00F2650D" w:rsidRPr="00C2739E" w:rsidRDefault="009827A0" w:rsidP="009827A0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F2650D"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11716D">
        <w:rPr>
          <w:rFonts w:ascii="Tahoma" w:hAnsi="Tahoma" w:cs="Tahoma"/>
          <w:sz w:val="22"/>
          <w:szCs w:val="22"/>
        </w:rPr>
        <w:t xml:space="preserve"> Rekonstrukce elektroinstalace</w:t>
      </w:r>
      <w:r w:rsidR="00580B03" w:rsidRPr="0011716D">
        <w:rPr>
          <w:rFonts w:ascii="Tahoma" w:hAnsi="Tahoma" w:cs="Tahoma"/>
          <w:sz w:val="22"/>
          <w:szCs w:val="22"/>
        </w:rPr>
        <w:t>“</w:t>
      </w:r>
    </w:p>
    <w:p w14:paraId="0295F86E" w14:textId="7C7D3F2C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18EADE6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564D29AE" w:rsidR="00F2650D" w:rsidRPr="00080BAF" w:rsidRDefault="00F2650D" w:rsidP="002A7DFF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5376F615" w:rsidR="00F2650D" w:rsidRDefault="25CBAE9E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 w:rsidR="00F2650D"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40E883E7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40E883E7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40E883E7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40E883E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40E883E7">
        <w:rPr>
          <w:rFonts w:ascii="Tahoma" w:hAnsi="Tahoma" w:cs="Tahoma"/>
          <w:sz w:val="22"/>
          <w:szCs w:val="22"/>
        </w:rPr>
        <w:t>Nová</w:t>
      </w:r>
      <w:r w:rsidR="40E883E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40E883E7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  <w:r w:rsidR="2D8DCF11" w:rsidRPr="20E3AF27">
        <w:rPr>
          <w:rFonts w:ascii="Tahoma" w:hAnsi="Tahoma" w:cs="Tahoma"/>
          <w:sz w:val="22"/>
          <w:szCs w:val="22"/>
        </w:rPr>
        <w:t xml:space="preserve"> Příkazník je povinen doručit příkazci opravenou fakturu do 3 dnů po obdržení příkazcem vrácené vadné faktury.</w:t>
      </w:r>
    </w:p>
    <w:p w14:paraId="04E21296" w14:textId="03C69B9D" w:rsidR="00F2650D" w:rsidRDefault="00F2650D" w:rsidP="002A7DFF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B848A1" w:rsidRDefault="00AA2C16" w:rsidP="002A7DFF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B848A1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zveřejněn v aplikaci „Registr DPH“ jako nespolehlivý plátce, nebo</w:t>
      </w:r>
    </w:p>
    <w:p w14:paraId="204F7D72" w14:textId="59705E47" w:rsidR="00AA2C16" w:rsidRPr="0011716D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1716D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řízení, nebo</w:t>
      </w:r>
    </w:p>
    <w:p w14:paraId="248C51F6" w14:textId="6F9CE593" w:rsidR="00AA2C16" w:rsidRPr="0011716D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1716D">
        <w:rPr>
          <w:rFonts w:ascii="Tahoma" w:hAnsi="Tahoma" w:cs="Tahoma"/>
          <w:sz w:val="22"/>
          <w:szCs w:val="22"/>
        </w:rPr>
        <w:t>bankovní účet příkazníka určený k úhradě plnění uvedený na faktuře nebude správcem daně zveřejněn v aplikaci „Registr DPH“.</w:t>
      </w:r>
    </w:p>
    <w:p w14:paraId="3918BB9C" w14:textId="14C1F2B0" w:rsidR="00F2650D" w:rsidRPr="00C2739E" w:rsidRDefault="00AA2C16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3865FD3F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XVIII.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22E571A3" w14:textId="77777777" w:rsidR="00674097" w:rsidRDefault="00237164" w:rsidP="00674097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674097">
        <w:rPr>
          <w:rFonts w:ascii="Tahoma" w:hAnsi="Tahoma" w:cs="Tahoma"/>
          <w:sz w:val="22"/>
          <w:szCs w:val="22"/>
        </w:rPr>
        <w:t>500 tis.</w:t>
      </w:r>
      <w:r w:rsidRPr="00674097">
        <w:rPr>
          <w:rFonts w:ascii="Tahoma" w:hAnsi="Tahoma" w:cs="Tahoma"/>
          <w:sz w:val="22"/>
          <w:szCs w:val="22"/>
        </w:rPr>
        <w:t xml:space="preserve"> </w:t>
      </w:r>
      <w:r w:rsidRPr="002529F9">
        <w:rPr>
          <w:rFonts w:ascii="Tahoma" w:hAnsi="Tahoma" w:cs="Tahoma"/>
          <w:sz w:val="22"/>
          <w:szCs w:val="22"/>
        </w:rPr>
        <w:t xml:space="preserve">Kč, s maximální </w:t>
      </w:r>
      <w:r w:rsidRPr="00674097">
        <w:rPr>
          <w:rFonts w:ascii="Tahoma" w:hAnsi="Tahoma" w:cs="Tahoma"/>
          <w:sz w:val="22"/>
          <w:szCs w:val="22"/>
        </w:rPr>
        <w:t xml:space="preserve">spoluúčastí max. </w:t>
      </w:r>
      <w:r w:rsidR="00297EC5" w:rsidRPr="00674097">
        <w:rPr>
          <w:rFonts w:ascii="Tahoma" w:hAnsi="Tahoma" w:cs="Tahoma"/>
          <w:sz w:val="22"/>
          <w:szCs w:val="22"/>
        </w:rPr>
        <w:t>5</w:t>
      </w:r>
      <w:r w:rsidRPr="00674097">
        <w:rPr>
          <w:rFonts w:ascii="Tahoma" w:hAnsi="Tahoma" w:cs="Tahoma"/>
          <w:sz w:val="22"/>
          <w:szCs w:val="22"/>
        </w:rPr>
        <w:t>0 tis. Kč</w:t>
      </w:r>
      <w:r w:rsidR="007F3B78" w:rsidRPr="00674097">
        <w:rPr>
          <w:rFonts w:ascii="Tahoma" w:hAnsi="Tahoma" w:cs="Tahoma"/>
          <w:sz w:val="22"/>
          <w:szCs w:val="22"/>
        </w:rPr>
        <w:t>.</w:t>
      </w:r>
    </w:p>
    <w:p w14:paraId="6D718011" w14:textId="6A2EDD1C" w:rsidR="00A828B7" w:rsidRPr="00674097" w:rsidRDefault="00237164" w:rsidP="00674097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74097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 w:rsidRPr="00674097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 w:rsidRPr="00674097">
        <w:rPr>
          <w:rFonts w:ascii="Tahoma" w:hAnsi="Tahoma" w:cs="Tahoma"/>
          <w:sz w:val="22"/>
          <w:szCs w:val="22"/>
        </w:rPr>
        <w:t xml:space="preserve"> výzvy objednatele</w:t>
      </w:r>
      <w:r w:rsidRPr="00674097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</w:t>
      </w:r>
      <w:proofErr w:type="spellStart"/>
      <w:r w:rsidRPr="00674097">
        <w:rPr>
          <w:rFonts w:ascii="Tahoma" w:hAnsi="Tahoma" w:cs="Tahoma"/>
          <w:sz w:val="22"/>
          <w:szCs w:val="22"/>
        </w:rPr>
        <w:t>sublimity</w:t>
      </w:r>
      <w:proofErr w:type="spellEnd"/>
      <w:r w:rsidRPr="00674097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0C584737" w14:textId="51B901C4" w:rsidR="006C3EAD" w:rsidRDefault="00580B03" w:rsidP="0080002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lastRenderedPageBreak/>
        <w:t>X</w:t>
      </w:r>
      <w:r w:rsidR="00237164" w:rsidRPr="75635C35">
        <w:rPr>
          <w:rFonts w:ascii="Tahoma" w:hAnsi="Tahoma" w:cs="Tahoma"/>
          <w:sz w:val="22"/>
          <w:szCs w:val="22"/>
        </w:rPr>
        <w:t>I</w:t>
      </w:r>
      <w:r w:rsidRPr="75635C35">
        <w:rPr>
          <w:rFonts w:ascii="Tahoma" w:hAnsi="Tahoma" w:cs="Tahoma"/>
          <w:sz w:val="22"/>
          <w:szCs w:val="22"/>
        </w:rPr>
        <w:t>X.</w:t>
      </w:r>
      <w:r w:rsidR="00202CD1">
        <w:rPr>
          <w:rFonts w:ascii="Tahoma" w:hAnsi="Tahoma" w:cs="Tahoma"/>
          <w:sz w:val="22"/>
          <w:szCs w:val="22"/>
        </w:rPr>
        <w:br/>
      </w:r>
      <w:r w:rsidR="75635C35"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31B0B8D3" w14:textId="2839CBC0" w:rsidR="006C3EAD" w:rsidRDefault="006C3EAD" w:rsidP="007C158D">
      <w:pPr>
        <w:pStyle w:val="paragraph"/>
        <w:numPr>
          <w:ilvl w:val="0"/>
          <w:numId w:val="30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</w:p>
    <w:p w14:paraId="63AF3C72" w14:textId="4C4A5719" w:rsidR="006C3EAD" w:rsidRDefault="006C3EAD" w:rsidP="007C158D">
      <w:pPr>
        <w:pStyle w:val="paragraph"/>
        <w:numPr>
          <w:ilvl w:val="0"/>
          <w:numId w:val="31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</w:t>
      </w:r>
    </w:p>
    <w:p w14:paraId="54AED60A" w14:textId="0071C1FB" w:rsidR="006C3EAD" w:rsidRDefault="006C3EAD" w:rsidP="007C158D">
      <w:pPr>
        <w:pStyle w:val="paragraph"/>
        <w:numPr>
          <w:ilvl w:val="0"/>
          <w:numId w:val="32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</w:t>
      </w:r>
      <w:r w:rsidR="00674097">
        <w:rPr>
          <w:rStyle w:val="normaltextrun"/>
          <w:rFonts w:ascii="Tahoma" w:hAnsi="Tahoma" w:cs="Tahoma"/>
          <w:sz w:val="22"/>
          <w:szCs w:val="22"/>
        </w:rPr>
        <w:t xml:space="preserve"> dle odst. 1 tohoto článku smlouvy</w:t>
      </w:r>
      <w:r>
        <w:rPr>
          <w:rStyle w:val="normaltextrun"/>
          <w:rFonts w:ascii="Tahoma" w:hAnsi="Tahoma" w:cs="Tahoma"/>
          <w:sz w:val="22"/>
          <w:szCs w:val="22"/>
        </w:rPr>
        <w:t>.</w:t>
      </w:r>
    </w:p>
    <w:p w14:paraId="52562016" w14:textId="1635EF5E" w:rsidR="006C3EAD" w:rsidRDefault="006C3EAD" w:rsidP="007C158D">
      <w:pPr>
        <w:pStyle w:val="paragraph"/>
        <w:numPr>
          <w:ilvl w:val="0"/>
          <w:numId w:val="33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Dojde-li k porušení pravidel dle odst. 1</w:t>
      </w:r>
      <w:r>
        <w:rPr>
          <w:rStyle w:val="normaltextrun"/>
          <w:rFonts w:ascii="Tahoma" w:hAnsi="Tahoma" w:cs="Tahoma"/>
          <w:color w:val="F51BD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4D19DFC2" w14:textId="2E2CB846" w:rsidR="006C3EAD" w:rsidRDefault="006C3EAD" w:rsidP="007C158D">
      <w:pPr>
        <w:pStyle w:val="paragraph"/>
        <w:numPr>
          <w:ilvl w:val="0"/>
          <w:numId w:val="34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Dojde-li k porušení pravidel dle odst. 1 této smlouvy, je zhotovitel povinen zaplatit objednateli smluvní pokutu ve výši 50.000</w:t>
      </w:r>
      <w:r>
        <w:rPr>
          <w:rStyle w:val="normaltextrun"/>
          <w:rFonts w:ascii="Tahoma" w:hAnsi="Tahoma" w:cs="Tahoma"/>
          <w:color w:val="FF00F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Kč, a to za každý jednotlivý případ porušení.</w:t>
      </w:r>
    </w:p>
    <w:p w14:paraId="30096A93" w14:textId="3F926836" w:rsidR="00580B03" w:rsidRPr="00080BAF" w:rsidRDefault="00580B0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B63571">
        <w:rPr>
          <w:rFonts w:ascii="Tahoma" w:hAnsi="Tahoma" w:cs="Tahoma"/>
          <w:bCs/>
          <w:sz w:val="22"/>
          <w:szCs w:val="22"/>
        </w:rPr>
        <w:t>XX.</w:t>
      </w:r>
      <w:r>
        <w:br/>
      </w: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 xml:space="preserve">které upraví </w:t>
      </w:r>
      <w:r w:rsidRPr="00080BAF">
        <w:rPr>
          <w:rFonts w:ascii="Tahoma" w:hAnsi="Tahoma" w:cs="Tahoma"/>
          <w:sz w:val="22"/>
          <w:szCs w:val="22"/>
        </w:rPr>
        <w:lastRenderedPageBreak/>
        <w:t>vzájemná práva a povinnosti.</w:t>
      </w:r>
    </w:p>
    <w:p w14:paraId="354C88A0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69493DE5" w14:textId="77777777" w:rsidR="001A1B4C" w:rsidRPr="001A1B4C" w:rsidRDefault="45EB66C1" w:rsidP="001A1B4C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těchto smluv a o registru smluv (zákon o registru smluv), </w:t>
      </w:r>
      <w:r w:rsidR="3D4560FF" w:rsidRPr="20E3AF27">
        <w:rPr>
          <w:rFonts w:ascii="Tahoma" w:hAnsi="Tahoma" w:cs="Tahoma"/>
          <w:sz w:val="22"/>
          <w:szCs w:val="22"/>
        </w:rPr>
        <w:t xml:space="preserve">nestanoví </w:t>
      </w:r>
      <w:r w:rsidRPr="20E3AF27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20E3AF27">
        <w:rPr>
          <w:rFonts w:ascii="Tahoma" w:hAnsi="Tahoma" w:cs="Tahoma"/>
          <w:sz w:val="22"/>
          <w:szCs w:val="22"/>
        </w:rPr>
        <w:t xml:space="preserve"> nejdříve dnem jejího</w:t>
      </w:r>
      <w:r w:rsidRPr="20E3AF27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20E3AF27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6478029B" w14:textId="61983F46" w:rsidR="001A1B4C" w:rsidRPr="001A1B4C" w:rsidRDefault="5B2BB587" w:rsidP="001A1B4C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001A1B4C">
        <w:rPr>
          <w:rFonts w:ascii="Tahoma" w:hAnsi="Tahoma" w:cs="Tahoma"/>
          <w:sz w:val="22"/>
          <w:szCs w:val="22"/>
        </w:rPr>
        <w:t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</w:t>
      </w:r>
      <w:r w:rsidR="001A1B4C">
        <w:rPr>
          <w:rFonts w:ascii="Tahoma" w:hAnsi="Tahoma" w:cs="Tahoma"/>
          <w:sz w:val="22"/>
          <w:szCs w:val="22"/>
        </w:rPr>
        <w:t xml:space="preserve"> M</w:t>
      </w:r>
      <w:r w:rsidR="001A1B4C" w:rsidRPr="001A1B4C">
        <w:rPr>
          <w:rFonts w:ascii="Tahoma" w:hAnsi="Tahoma" w:cs="Tahoma"/>
          <w:sz w:val="22"/>
          <w:szCs w:val="22"/>
        </w:rPr>
        <w:t xml:space="preserve">atičního gymnázia, Ostrava, </w:t>
      </w:r>
      <w:proofErr w:type="spellStart"/>
      <w:r w:rsidR="001A1B4C" w:rsidRPr="001A1B4C">
        <w:rPr>
          <w:rFonts w:ascii="Tahoma" w:hAnsi="Tahoma" w:cs="Tahoma"/>
          <w:sz w:val="22"/>
          <w:szCs w:val="22"/>
        </w:rPr>
        <w:t>p.o</w:t>
      </w:r>
      <w:proofErr w:type="spellEnd"/>
      <w:r w:rsidR="001A1B4C" w:rsidRPr="001A1B4C">
        <w:rPr>
          <w:rFonts w:ascii="Tahoma" w:hAnsi="Tahoma" w:cs="Tahoma"/>
          <w:sz w:val="22"/>
          <w:szCs w:val="22"/>
        </w:rPr>
        <w:t xml:space="preserve">.: </w:t>
      </w:r>
      <w:hyperlink r:id="rId11" w:history="1">
        <w:r w:rsidR="001A1B4C" w:rsidRPr="001A1B4C">
          <w:rPr>
            <w:rStyle w:val="Hypertextovodkaz"/>
            <w:rFonts w:ascii="Tahoma" w:hAnsi="Tahoma" w:cs="Tahoma"/>
            <w:sz w:val="22"/>
            <w:szCs w:val="22"/>
          </w:rPr>
          <w:t>www.mgo.cz</w:t>
        </w:r>
      </w:hyperlink>
      <w:r w:rsidR="001A1B4C" w:rsidRPr="001A1B4C">
        <w:rPr>
          <w:rFonts w:ascii="Tahoma" w:hAnsi="Tahoma" w:cs="Tahoma"/>
          <w:sz w:val="22"/>
          <w:szCs w:val="22"/>
        </w:rPr>
        <w:t>.</w:t>
      </w:r>
    </w:p>
    <w:p w14:paraId="3FCDCB21" w14:textId="72453A99" w:rsidR="00580B03" w:rsidRPr="00080BAF" w:rsidRDefault="000A4E0E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="45EB66C1" w:rsidRPr="20E3AF27">
        <w:rPr>
          <w:rFonts w:ascii="Tahoma" w:hAnsi="Tahoma" w:cs="Tahoma"/>
          <w:sz w:val="22"/>
          <w:szCs w:val="22"/>
        </w:rPr>
        <w:t>ato smlouva</w:t>
      </w:r>
      <w:r>
        <w:rPr>
          <w:rFonts w:ascii="Tahoma" w:hAnsi="Tahoma" w:cs="Tahoma"/>
          <w:sz w:val="22"/>
          <w:szCs w:val="22"/>
        </w:rPr>
        <w:t xml:space="preserve"> uzavřena v listinné podobě,</w:t>
      </w:r>
      <w:r w:rsidR="45EB66C1" w:rsidRPr="20E3AF27">
        <w:rPr>
          <w:rFonts w:ascii="Tahoma" w:hAnsi="Tahoma" w:cs="Tahoma"/>
          <w:sz w:val="22"/>
          <w:szCs w:val="22"/>
        </w:rPr>
        <w:t xml:space="preserve"> je vyhotovena ve </w:t>
      </w:r>
      <w:r w:rsidR="650E4929" w:rsidRPr="000E242E">
        <w:rPr>
          <w:rFonts w:ascii="Tahoma" w:hAnsi="Tahoma" w:cs="Tahoma"/>
          <w:sz w:val="22"/>
          <w:szCs w:val="22"/>
        </w:rPr>
        <w:t>třech</w:t>
      </w:r>
      <w:r w:rsidR="45EB66C1" w:rsidRPr="20E3AF27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obdrží </w:t>
      </w:r>
      <w:r w:rsidR="650E4929" w:rsidRPr="000E242E">
        <w:rPr>
          <w:rFonts w:ascii="Tahoma" w:hAnsi="Tahoma" w:cs="Tahoma"/>
          <w:sz w:val="22"/>
          <w:szCs w:val="22"/>
        </w:rPr>
        <w:t>dvě</w:t>
      </w:r>
      <w:r w:rsidR="45EB66C1" w:rsidRPr="20E3AF27">
        <w:rPr>
          <w:rFonts w:ascii="Tahoma" w:hAnsi="Tahoma" w:cs="Tahoma"/>
          <w:sz w:val="22"/>
          <w:szCs w:val="22"/>
        </w:rPr>
        <w:t xml:space="preserve"> a zhotovitel </w:t>
      </w:r>
      <w:r w:rsidR="45EB66C1" w:rsidRPr="000E242E">
        <w:rPr>
          <w:rFonts w:ascii="Tahoma" w:hAnsi="Tahoma" w:cs="Tahoma"/>
          <w:sz w:val="22"/>
          <w:szCs w:val="22"/>
        </w:rPr>
        <w:t>jedno</w:t>
      </w:r>
      <w:r w:rsidR="45EB66C1" w:rsidRPr="20E3AF27">
        <w:rPr>
          <w:rFonts w:ascii="Tahoma" w:hAnsi="Tahoma" w:cs="Tahoma"/>
          <w:sz w:val="22"/>
          <w:szCs w:val="22"/>
        </w:rPr>
        <w:t xml:space="preserve"> vyhotovení.</w:t>
      </w:r>
      <w:r>
        <w:rPr>
          <w:rFonts w:ascii="Tahoma" w:hAnsi="Tahoma" w:cs="Tahoma"/>
          <w:sz w:val="22"/>
          <w:szCs w:val="22"/>
        </w:rPr>
        <w:t xml:space="preserve"> </w:t>
      </w:r>
      <w:r w:rsidRPr="000A4E0E">
        <w:rPr>
          <w:rFonts w:ascii="Tahoma" w:hAnsi="Tahoma" w:cs="Tahoma"/>
          <w:sz w:val="22"/>
          <w:szCs w:val="22"/>
        </w:rPr>
        <w:t>Je-li tato smlouva uzavřena elektronicky, obdrží obě smluvní strany její elektronický originál opatřený elektronickými podpisy.</w:t>
      </w:r>
    </w:p>
    <w:p w14:paraId="54F67A7E" w14:textId="5D6F8EE9" w:rsidR="00580B03" w:rsidRDefault="45EB66C1" w:rsidP="007C158D">
      <w:pPr>
        <w:pStyle w:val="Smlouva-slo"/>
        <w:keepNext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Smluvní strany shodně prohlašují, že si smlouvu před jejím podpisem přečetly a že se dohodly o celém jejím obsahu, což stvrzují svými podpisy.</w:t>
      </w:r>
    </w:p>
    <w:p w14:paraId="1BCA6487" w14:textId="77777777" w:rsidR="0080002D" w:rsidRDefault="0080002D" w:rsidP="0080002D">
      <w:pPr>
        <w:pStyle w:val="Smlouva-slo"/>
        <w:keepNext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29066F7B" w14:textId="0B63330E" w:rsidR="001A1B4C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0002D">
        <w:rPr>
          <w:rFonts w:ascii="Tahoma" w:hAnsi="Tahoma" w:cs="Tahoma"/>
          <w:color w:val="000000"/>
          <w:sz w:val="22"/>
          <w:szCs w:val="22"/>
        </w:rPr>
        <w:t xml:space="preserve">V ……………………. dne ………………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80002D">
        <w:rPr>
          <w:rFonts w:ascii="Tahoma" w:hAnsi="Tahoma" w:cs="Tahoma"/>
          <w:color w:val="000000"/>
          <w:sz w:val="22"/>
          <w:szCs w:val="22"/>
        </w:rPr>
        <w:t>V …………………… dne ………………</w:t>
      </w:r>
    </w:p>
    <w:p w14:paraId="77AA6145" w14:textId="5E629551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07072B02" w14:textId="39099264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3F41D5AD" w14:textId="5BAF3566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6BA064F1" w14:textId="2935CB5F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79E9" wp14:editId="394ADA41">
                <wp:simplePos x="0" y="0"/>
                <wp:positionH relativeFrom="column">
                  <wp:posOffset>99060</wp:posOffset>
                </wp:positionH>
                <wp:positionV relativeFrom="paragraph">
                  <wp:posOffset>66040</wp:posOffset>
                </wp:positionV>
                <wp:extent cx="210502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7525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5.2pt" to="17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B2C4C" wp14:editId="6DF76CFD">
                <wp:simplePos x="0" y="0"/>
                <wp:positionH relativeFrom="column">
                  <wp:posOffset>3609975</wp:posOffset>
                </wp:positionH>
                <wp:positionV relativeFrom="paragraph">
                  <wp:posOffset>66040</wp:posOffset>
                </wp:positionV>
                <wp:extent cx="21050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BFCD8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  <w:t xml:space="preserve">      za objednatele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za zhotovitele</w:t>
      </w:r>
    </w:p>
    <w:p w14:paraId="5567D3B2" w14:textId="723B55D8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Mgr. Ladislav </w:t>
      </w:r>
      <w:proofErr w:type="spellStart"/>
      <w:r>
        <w:rPr>
          <w:rFonts w:ascii="Tahoma" w:hAnsi="Tahoma" w:cs="Tahoma"/>
          <w:sz w:val="22"/>
          <w:szCs w:val="22"/>
        </w:rPr>
        <w:t>Vasevič</w:t>
      </w:r>
      <w:proofErr w:type="spellEnd"/>
    </w:p>
    <w:p w14:paraId="7DED5348" w14:textId="10E62329" w:rsidR="0080002D" w:rsidRP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ředitel školy</w:t>
      </w:r>
    </w:p>
    <w:sectPr w:rsidR="0080002D" w:rsidRPr="0080002D" w:rsidSect="006B1FAE">
      <w:footerReference w:type="even" r:id="rId12"/>
      <w:footerReference w:type="default" r:id="rId13"/>
      <w:footerReference w:type="first" r:id="rId14"/>
      <w:pgSz w:w="11906" w:h="16838" w:code="9"/>
      <w:pgMar w:top="1418" w:right="1418" w:bottom="1418" w:left="1418" w:header="709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B673" w14:textId="77777777" w:rsidR="00F07848" w:rsidRDefault="00F07848">
      <w:r>
        <w:separator/>
      </w:r>
    </w:p>
  </w:endnote>
  <w:endnote w:type="continuationSeparator" w:id="0">
    <w:p w14:paraId="644AF567" w14:textId="77777777" w:rsidR="00F07848" w:rsidRDefault="00F07848">
      <w:r>
        <w:continuationSeparator/>
      </w:r>
    </w:p>
  </w:endnote>
  <w:endnote w:type="continuationNotice" w:id="1">
    <w:p w14:paraId="09AF037A" w14:textId="77777777" w:rsidR="00F07848" w:rsidRDefault="00F07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D37B" w14:textId="09A8092B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47"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F4F6" w14:textId="73A66C81" w:rsidR="006B465B" w:rsidRPr="00C16FF0" w:rsidRDefault="00663A8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E1DC3F" wp14:editId="4E842EB2">
              <wp:simplePos x="0" y="0"/>
              <wp:positionH relativeFrom="page">
                <wp:posOffset>0</wp:posOffset>
              </wp:positionH>
              <wp:positionV relativeFrom="page">
                <wp:posOffset>10448924</wp:posOffset>
              </wp:positionV>
              <wp:extent cx="7560310" cy="53975"/>
              <wp:effectExtent l="0" t="0" r="0" b="3175"/>
              <wp:wrapNone/>
              <wp:docPr id="4" name="MSIPCMfcb3405eb3ad430248232b8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79DFC" w14:textId="3540A57F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DC3F" id="_x0000_t202" coordsize="21600,21600" o:spt="202" path="m,l,21600r21600,l21600,xe">
              <v:stroke joinstyle="miter"/>
              <v:path gradientshapeok="t" o:connecttype="rect"/>
            </v:shapetype>
            <v:shape id="MSIPCMfcb3405eb3ad430248232b8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22.75pt;width:595.3pt;height:4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" o:allowincell="f" filled="f" stroked="f" strokeweight=".5pt">
              <v:textbox inset="20pt,0,,0">
                <w:txbxContent>
                  <w:p w14:paraId="5AB79DFC" w14:textId="3540A57F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465B" w:rsidRPr="00C16FF0">
      <w:rPr>
        <w:rFonts w:ascii="Tahoma" w:hAnsi="Tahoma" w:cs="Tahoma"/>
        <w:sz w:val="20"/>
        <w:szCs w:val="20"/>
      </w:rPr>
      <w:t>PD</w:t>
    </w:r>
    <w:r w:rsidR="00DE29AC">
      <w:rPr>
        <w:rFonts w:ascii="Tahoma" w:hAnsi="Tahoma" w:cs="Tahoma"/>
        <w:sz w:val="20"/>
        <w:szCs w:val="20"/>
      </w:rPr>
      <w:t xml:space="preserve"> a</w:t>
    </w:r>
    <w:r w:rsidR="006B1FAE">
      <w:rPr>
        <w:rFonts w:ascii="Tahoma" w:hAnsi="Tahoma" w:cs="Tahoma"/>
        <w:sz w:val="20"/>
        <w:szCs w:val="20"/>
      </w:rPr>
      <w:t xml:space="preserve"> autorský dozor</w:t>
    </w:r>
    <w:r w:rsidR="006B465B" w:rsidRPr="00C16FF0">
      <w:rPr>
        <w:rFonts w:ascii="Tahoma" w:hAnsi="Tahoma" w:cs="Tahoma"/>
        <w:sz w:val="20"/>
        <w:szCs w:val="20"/>
      </w:rPr>
      <w:t xml:space="preserve">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6B1FAE">
      <w:rPr>
        <w:rFonts w:ascii="Tahoma" w:hAnsi="Tahoma" w:cs="Tahoma"/>
        <w:sz w:val="20"/>
        <w:szCs w:val="20"/>
      </w:rPr>
      <w:t>Rekonstrukce elektroinstalace“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EB80" w14:textId="40F579BC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050230AD" w:rsidR="00663A87" w:rsidRPr="00EB5AEF" w:rsidRDefault="00EB5AEF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B5AE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" o:allowincell="f" filled="f" stroked="f" strokeweight=".5pt">
              <v:textbox inset="20pt,0,,0">
                <w:txbxContent>
                  <w:p w14:paraId="5EDFA3DC" w14:textId="050230AD" w:rsidR="00663A87" w:rsidRPr="00EB5AEF" w:rsidRDefault="00EB5AEF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B5AE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146A" w14:textId="77777777" w:rsidR="00F07848" w:rsidRDefault="00F07848">
      <w:r>
        <w:separator/>
      </w:r>
    </w:p>
  </w:footnote>
  <w:footnote w:type="continuationSeparator" w:id="0">
    <w:p w14:paraId="74677CF4" w14:textId="77777777" w:rsidR="00F07848" w:rsidRDefault="00F07848">
      <w:r>
        <w:continuationSeparator/>
      </w:r>
    </w:p>
  </w:footnote>
  <w:footnote w:type="continuationNotice" w:id="1">
    <w:p w14:paraId="23DA0491" w14:textId="77777777" w:rsidR="00F07848" w:rsidRDefault="00F07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2EAB"/>
    <w:multiLevelType w:val="hybridMultilevel"/>
    <w:tmpl w:val="A600C5DA"/>
    <w:lvl w:ilvl="0" w:tplc="EB862E40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5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CA068ED"/>
    <w:multiLevelType w:val="hybridMultilevel"/>
    <w:tmpl w:val="C83E897E"/>
    <w:lvl w:ilvl="0" w:tplc="1C1E28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01B3C"/>
    <w:multiLevelType w:val="hybridMultilevel"/>
    <w:tmpl w:val="1512C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3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5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6294E"/>
    <w:multiLevelType w:val="multilevel"/>
    <w:tmpl w:val="525E6F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12"/>
  </w:num>
  <w:num w:numId="10">
    <w:abstractNumId w:val="23"/>
  </w:num>
  <w:num w:numId="11">
    <w:abstractNumId w:val="37"/>
  </w:num>
  <w:num w:numId="12">
    <w:abstractNumId w:val="25"/>
  </w:num>
  <w:num w:numId="13">
    <w:abstractNumId w:val="10"/>
  </w:num>
  <w:num w:numId="14">
    <w:abstractNumId w:val="24"/>
  </w:num>
  <w:num w:numId="15">
    <w:abstractNumId w:val="17"/>
  </w:num>
  <w:num w:numId="16">
    <w:abstractNumId w:val="0"/>
  </w:num>
  <w:num w:numId="17">
    <w:abstractNumId w:val="14"/>
  </w:num>
  <w:num w:numId="18">
    <w:abstractNumId w:val="30"/>
  </w:num>
  <w:num w:numId="19">
    <w:abstractNumId w:val="7"/>
  </w:num>
  <w:num w:numId="20">
    <w:abstractNumId w:val="22"/>
  </w:num>
  <w:num w:numId="21">
    <w:abstractNumId w:val="15"/>
  </w:num>
  <w:num w:numId="22">
    <w:abstractNumId w:val="3"/>
  </w:num>
  <w:num w:numId="23">
    <w:abstractNumId w:val="2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3"/>
  </w:num>
  <w:num w:numId="27">
    <w:abstractNumId w:val="4"/>
  </w:num>
  <w:num w:numId="28">
    <w:abstractNumId w:val="21"/>
  </w:num>
  <w:num w:numId="29">
    <w:abstractNumId w:val="35"/>
  </w:num>
  <w:num w:numId="30">
    <w:abstractNumId w:val="9"/>
  </w:num>
  <w:num w:numId="31">
    <w:abstractNumId w:val="32"/>
  </w:num>
  <w:num w:numId="32">
    <w:abstractNumId w:val="5"/>
  </w:num>
  <w:num w:numId="33">
    <w:abstractNumId w:val="8"/>
  </w:num>
  <w:num w:numId="34">
    <w:abstractNumId w:val="19"/>
  </w:num>
  <w:num w:numId="35">
    <w:abstractNumId w:val="34"/>
  </w:num>
  <w:num w:numId="36">
    <w:abstractNumId w:val="16"/>
  </w:num>
  <w:num w:numId="37">
    <w:abstractNumId w:val="6"/>
  </w:num>
  <w:num w:numId="38">
    <w:abstractNumId w:val="36"/>
  </w:num>
  <w:num w:numId="39">
    <w:abstractNumId w:val="28"/>
  </w:num>
  <w:num w:numId="40">
    <w:abstractNumId w:val="27"/>
  </w:num>
  <w:num w:numId="41">
    <w:abstractNumId w:val="29"/>
  </w:num>
  <w:num w:numId="42">
    <w:abstractNumId w:val="11"/>
  </w:num>
  <w:num w:numId="43">
    <w:abstractNumId w:val="1"/>
  </w:num>
  <w:num w:numId="44">
    <w:abstractNumId w:val="20"/>
  </w:num>
  <w:num w:numId="45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2804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65C"/>
    <w:rsid w:val="00074A8B"/>
    <w:rsid w:val="00075C70"/>
    <w:rsid w:val="00076CB6"/>
    <w:rsid w:val="00080BAF"/>
    <w:rsid w:val="00081825"/>
    <w:rsid w:val="00081AF0"/>
    <w:rsid w:val="00082D52"/>
    <w:rsid w:val="00084856"/>
    <w:rsid w:val="00084B73"/>
    <w:rsid w:val="00084D0F"/>
    <w:rsid w:val="0009229A"/>
    <w:rsid w:val="00093539"/>
    <w:rsid w:val="000978B9"/>
    <w:rsid w:val="000A11E7"/>
    <w:rsid w:val="000A4E0E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2228"/>
    <w:rsid w:val="000E242E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16D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408BB"/>
    <w:rsid w:val="00141C2E"/>
    <w:rsid w:val="0014374F"/>
    <w:rsid w:val="00144DAC"/>
    <w:rsid w:val="00146555"/>
    <w:rsid w:val="00152CDE"/>
    <w:rsid w:val="001555D5"/>
    <w:rsid w:val="00156838"/>
    <w:rsid w:val="0015700E"/>
    <w:rsid w:val="001576D0"/>
    <w:rsid w:val="001662C9"/>
    <w:rsid w:val="00166D17"/>
    <w:rsid w:val="00167912"/>
    <w:rsid w:val="0017068A"/>
    <w:rsid w:val="001801B9"/>
    <w:rsid w:val="0018247F"/>
    <w:rsid w:val="00190E4C"/>
    <w:rsid w:val="0019192D"/>
    <w:rsid w:val="00192F18"/>
    <w:rsid w:val="00194340"/>
    <w:rsid w:val="001A1B4C"/>
    <w:rsid w:val="001A5A36"/>
    <w:rsid w:val="001A5C93"/>
    <w:rsid w:val="001A67BE"/>
    <w:rsid w:val="001B0BEF"/>
    <w:rsid w:val="001B3FF5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475F2"/>
    <w:rsid w:val="0025006B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783"/>
    <w:rsid w:val="00293F67"/>
    <w:rsid w:val="0029411A"/>
    <w:rsid w:val="00297EC5"/>
    <w:rsid w:val="00297F60"/>
    <w:rsid w:val="002A0361"/>
    <w:rsid w:val="002A35B1"/>
    <w:rsid w:val="002A6060"/>
    <w:rsid w:val="002A6C49"/>
    <w:rsid w:val="002A7DFF"/>
    <w:rsid w:val="002B252D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0781A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60522"/>
    <w:rsid w:val="003645FD"/>
    <w:rsid w:val="00365BE2"/>
    <w:rsid w:val="00370BA6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5B7"/>
    <w:rsid w:val="003A6BC7"/>
    <w:rsid w:val="003B2D62"/>
    <w:rsid w:val="003C255F"/>
    <w:rsid w:val="003C57ED"/>
    <w:rsid w:val="003C776E"/>
    <w:rsid w:val="003D0BD5"/>
    <w:rsid w:val="003D1E86"/>
    <w:rsid w:val="003E2B3F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483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C79B9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4F7FBA"/>
    <w:rsid w:val="00500405"/>
    <w:rsid w:val="00501020"/>
    <w:rsid w:val="005050DB"/>
    <w:rsid w:val="00510A69"/>
    <w:rsid w:val="0051493A"/>
    <w:rsid w:val="00514E1E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53F"/>
    <w:rsid w:val="00561260"/>
    <w:rsid w:val="00561541"/>
    <w:rsid w:val="005634D0"/>
    <w:rsid w:val="00564708"/>
    <w:rsid w:val="00565C19"/>
    <w:rsid w:val="005679A8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ED1"/>
    <w:rsid w:val="00586E84"/>
    <w:rsid w:val="00591207"/>
    <w:rsid w:val="005931FC"/>
    <w:rsid w:val="00594DBB"/>
    <w:rsid w:val="005974E1"/>
    <w:rsid w:val="005A2C6E"/>
    <w:rsid w:val="005A3ECA"/>
    <w:rsid w:val="005A5803"/>
    <w:rsid w:val="005A7225"/>
    <w:rsid w:val="005B0044"/>
    <w:rsid w:val="005B081B"/>
    <w:rsid w:val="005B12FF"/>
    <w:rsid w:val="005B6974"/>
    <w:rsid w:val="005C4005"/>
    <w:rsid w:val="005C4A8B"/>
    <w:rsid w:val="005D15E4"/>
    <w:rsid w:val="005D1EFA"/>
    <w:rsid w:val="005D3EA6"/>
    <w:rsid w:val="005E12EF"/>
    <w:rsid w:val="005E3D62"/>
    <w:rsid w:val="005E4B56"/>
    <w:rsid w:val="005E63C3"/>
    <w:rsid w:val="005F142F"/>
    <w:rsid w:val="005F3DF2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C88"/>
    <w:rsid w:val="00661BED"/>
    <w:rsid w:val="00663A87"/>
    <w:rsid w:val="00667311"/>
    <w:rsid w:val="00672F34"/>
    <w:rsid w:val="00673B9A"/>
    <w:rsid w:val="00674097"/>
    <w:rsid w:val="00681A8B"/>
    <w:rsid w:val="00681C96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1FAE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6D18"/>
    <w:rsid w:val="006F22B1"/>
    <w:rsid w:val="006F2FAE"/>
    <w:rsid w:val="006F65D8"/>
    <w:rsid w:val="0071090F"/>
    <w:rsid w:val="007114B8"/>
    <w:rsid w:val="00711E0C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B13"/>
    <w:rsid w:val="00733FC3"/>
    <w:rsid w:val="00735629"/>
    <w:rsid w:val="00735DB1"/>
    <w:rsid w:val="0073724A"/>
    <w:rsid w:val="0073781E"/>
    <w:rsid w:val="007427FE"/>
    <w:rsid w:val="007458AB"/>
    <w:rsid w:val="00745C69"/>
    <w:rsid w:val="00754373"/>
    <w:rsid w:val="00757031"/>
    <w:rsid w:val="007577F8"/>
    <w:rsid w:val="007614B1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95F58"/>
    <w:rsid w:val="00797774"/>
    <w:rsid w:val="007A003A"/>
    <w:rsid w:val="007A4787"/>
    <w:rsid w:val="007A6685"/>
    <w:rsid w:val="007B202F"/>
    <w:rsid w:val="007B4FEE"/>
    <w:rsid w:val="007B6401"/>
    <w:rsid w:val="007B65F6"/>
    <w:rsid w:val="007B7556"/>
    <w:rsid w:val="007B776F"/>
    <w:rsid w:val="007C110B"/>
    <w:rsid w:val="007C158D"/>
    <w:rsid w:val="007D086E"/>
    <w:rsid w:val="007D2EC2"/>
    <w:rsid w:val="007E7437"/>
    <w:rsid w:val="007F3B78"/>
    <w:rsid w:val="007F3EEF"/>
    <w:rsid w:val="0080002D"/>
    <w:rsid w:val="008007B4"/>
    <w:rsid w:val="008025AA"/>
    <w:rsid w:val="00806319"/>
    <w:rsid w:val="0081052A"/>
    <w:rsid w:val="00815226"/>
    <w:rsid w:val="00816685"/>
    <w:rsid w:val="00821BF9"/>
    <w:rsid w:val="0082378B"/>
    <w:rsid w:val="00826B2A"/>
    <w:rsid w:val="00827A13"/>
    <w:rsid w:val="00831D7D"/>
    <w:rsid w:val="00835733"/>
    <w:rsid w:val="00837C7E"/>
    <w:rsid w:val="0084171C"/>
    <w:rsid w:val="00843C42"/>
    <w:rsid w:val="00850A6A"/>
    <w:rsid w:val="008521F5"/>
    <w:rsid w:val="0085316B"/>
    <w:rsid w:val="00857D8A"/>
    <w:rsid w:val="00857E0D"/>
    <w:rsid w:val="00862F3B"/>
    <w:rsid w:val="00864AF7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93E02"/>
    <w:rsid w:val="008A3F22"/>
    <w:rsid w:val="008A52AD"/>
    <w:rsid w:val="008A590C"/>
    <w:rsid w:val="008A768D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053"/>
    <w:rsid w:val="008F1160"/>
    <w:rsid w:val="008F1D20"/>
    <w:rsid w:val="008F5108"/>
    <w:rsid w:val="00907B34"/>
    <w:rsid w:val="00907E0A"/>
    <w:rsid w:val="00917416"/>
    <w:rsid w:val="0093010F"/>
    <w:rsid w:val="009308DB"/>
    <w:rsid w:val="00935242"/>
    <w:rsid w:val="009356D5"/>
    <w:rsid w:val="009359D6"/>
    <w:rsid w:val="00935AA7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27A0"/>
    <w:rsid w:val="00987F5C"/>
    <w:rsid w:val="009A2048"/>
    <w:rsid w:val="009A41DE"/>
    <w:rsid w:val="009B0081"/>
    <w:rsid w:val="009B1D5A"/>
    <w:rsid w:val="009B3ADD"/>
    <w:rsid w:val="009B4E3C"/>
    <w:rsid w:val="009B4FE8"/>
    <w:rsid w:val="009B5F85"/>
    <w:rsid w:val="009B61C1"/>
    <w:rsid w:val="009C31C2"/>
    <w:rsid w:val="009C4118"/>
    <w:rsid w:val="009C49D6"/>
    <w:rsid w:val="009C6A1A"/>
    <w:rsid w:val="009D0440"/>
    <w:rsid w:val="009D3B64"/>
    <w:rsid w:val="009D4574"/>
    <w:rsid w:val="009D5BA0"/>
    <w:rsid w:val="009E19B0"/>
    <w:rsid w:val="009E1AC5"/>
    <w:rsid w:val="009E1DF5"/>
    <w:rsid w:val="009E2A02"/>
    <w:rsid w:val="009E6235"/>
    <w:rsid w:val="009E7D5E"/>
    <w:rsid w:val="00A06CA7"/>
    <w:rsid w:val="00A07147"/>
    <w:rsid w:val="00A13D5E"/>
    <w:rsid w:val="00A14D04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4991"/>
    <w:rsid w:val="00A55BE2"/>
    <w:rsid w:val="00A6499E"/>
    <w:rsid w:val="00A64E77"/>
    <w:rsid w:val="00A6671F"/>
    <w:rsid w:val="00A6681F"/>
    <w:rsid w:val="00A66D23"/>
    <w:rsid w:val="00A7217D"/>
    <w:rsid w:val="00A729C7"/>
    <w:rsid w:val="00A8016A"/>
    <w:rsid w:val="00A828B7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317B"/>
    <w:rsid w:val="00AD4010"/>
    <w:rsid w:val="00AD66FC"/>
    <w:rsid w:val="00AD6B1D"/>
    <w:rsid w:val="00AE137C"/>
    <w:rsid w:val="00AE255A"/>
    <w:rsid w:val="00AE2912"/>
    <w:rsid w:val="00AE4E66"/>
    <w:rsid w:val="00AE4E91"/>
    <w:rsid w:val="00AE6E40"/>
    <w:rsid w:val="00AE7241"/>
    <w:rsid w:val="00AF10B0"/>
    <w:rsid w:val="00AF3234"/>
    <w:rsid w:val="00AF3BB5"/>
    <w:rsid w:val="00AF53A2"/>
    <w:rsid w:val="00AF568F"/>
    <w:rsid w:val="00AF5D07"/>
    <w:rsid w:val="00AF6CC0"/>
    <w:rsid w:val="00B012B4"/>
    <w:rsid w:val="00B050A1"/>
    <w:rsid w:val="00B05500"/>
    <w:rsid w:val="00B06F6A"/>
    <w:rsid w:val="00B11EEE"/>
    <w:rsid w:val="00B124F9"/>
    <w:rsid w:val="00B136DA"/>
    <w:rsid w:val="00B144BB"/>
    <w:rsid w:val="00B23006"/>
    <w:rsid w:val="00B25458"/>
    <w:rsid w:val="00B27330"/>
    <w:rsid w:val="00B30F85"/>
    <w:rsid w:val="00B31BFF"/>
    <w:rsid w:val="00B3272A"/>
    <w:rsid w:val="00B33167"/>
    <w:rsid w:val="00B3409F"/>
    <w:rsid w:val="00B367AA"/>
    <w:rsid w:val="00B37C3D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20D0"/>
    <w:rsid w:val="00BB4E24"/>
    <w:rsid w:val="00BC195D"/>
    <w:rsid w:val="00BC3BF1"/>
    <w:rsid w:val="00BC4DAC"/>
    <w:rsid w:val="00BC56E2"/>
    <w:rsid w:val="00BC7EB7"/>
    <w:rsid w:val="00BD2164"/>
    <w:rsid w:val="00BD23DF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53F2B"/>
    <w:rsid w:val="00C6305D"/>
    <w:rsid w:val="00C64723"/>
    <w:rsid w:val="00C66241"/>
    <w:rsid w:val="00C74A0F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6DE"/>
    <w:rsid w:val="00CC1E1A"/>
    <w:rsid w:val="00CD4553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1556C"/>
    <w:rsid w:val="00D16B1A"/>
    <w:rsid w:val="00D2029E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9DA"/>
    <w:rsid w:val="00D6236A"/>
    <w:rsid w:val="00D64C11"/>
    <w:rsid w:val="00D6782D"/>
    <w:rsid w:val="00D70043"/>
    <w:rsid w:val="00D7238C"/>
    <w:rsid w:val="00D84C0E"/>
    <w:rsid w:val="00D84DEE"/>
    <w:rsid w:val="00D86C42"/>
    <w:rsid w:val="00D87147"/>
    <w:rsid w:val="00D87C25"/>
    <w:rsid w:val="00D91CF8"/>
    <w:rsid w:val="00D952DB"/>
    <w:rsid w:val="00D9558C"/>
    <w:rsid w:val="00DA0134"/>
    <w:rsid w:val="00DA1CE2"/>
    <w:rsid w:val="00DA3541"/>
    <w:rsid w:val="00DA3930"/>
    <w:rsid w:val="00DA7179"/>
    <w:rsid w:val="00DB233E"/>
    <w:rsid w:val="00DB2467"/>
    <w:rsid w:val="00DB39EE"/>
    <w:rsid w:val="00DB3E1A"/>
    <w:rsid w:val="00DB5CAC"/>
    <w:rsid w:val="00DB68B6"/>
    <w:rsid w:val="00DB7F97"/>
    <w:rsid w:val="00DC0365"/>
    <w:rsid w:val="00DC2E08"/>
    <w:rsid w:val="00DC6A31"/>
    <w:rsid w:val="00DC712D"/>
    <w:rsid w:val="00DD0D9E"/>
    <w:rsid w:val="00DD0F04"/>
    <w:rsid w:val="00DD0FE6"/>
    <w:rsid w:val="00DD1818"/>
    <w:rsid w:val="00DE29AC"/>
    <w:rsid w:val="00DE3FBF"/>
    <w:rsid w:val="00DE779F"/>
    <w:rsid w:val="00DF0CD2"/>
    <w:rsid w:val="00DF118D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27F6F"/>
    <w:rsid w:val="00E302AB"/>
    <w:rsid w:val="00E33680"/>
    <w:rsid w:val="00E415C2"/>
    <w:rsid w:val="00E51D92"/>
    <w:rsid w:val="00E52210"/>
    <w:rsid w:val="00E52AD5"/>
    <w:rsid w:val="00E5524E"/>
    <w:rsid w:val="00E607BA"/>
    <w:rsid w:val="00E64AB7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61F3"/>
    <w:rsid w:val="00EA7CEF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07848"/>
    <w:rsid w:val="00F07EC2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6999"/>
    <w:rsid w:val="00F701ED"/>
    <w:rsid w:val="00F742DA"/>
    <w:rsid w:val="00F74B8D"/>
    <w:rsid w:val="00F76497"/>
    <w:rsid w:val="00F767F6"/>
    <w:rsid w:val="00F8163D"/>
    <w:rsid w:val="00FA3759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D4698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link w:val="Zkladntextodsazen3Char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  <w:style w:type="paragraph" w:customStyle="1" w:styleId="CharCharChar8">
    <w:name w:val="Char Char Char"/>
    <w:basedOn w:val="Normln"/>
    <w:rsid w:val="001A1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3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go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73262-93fa-4902-9abc-0950e41a00d2">
      <UserInfo>
        <DisplayName/>
        <AccountId xsi:nil="true"/>
        <AccountType/>
      </UserInfo>
    </SharedWithUsers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4" ma:contentTypeDescription="Vytvoří nový dokument" ma:contentTypeScope="" ma:versionID="eb266546ea8988789c923beafc68bbdf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836fe76640dd25c674a3b2d5b83f3e26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568019-71ab-4f25-8913-5e7070a0e25e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37766-7228-4B22-8870-98B0E0C52D37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3.xml><?xml version="1.0" encoding="utf-8"?>
<ds:datastoreItem xmlns:ds="http://schemas.openxmlformats.org/officeDocument/2006/customXml" ds:itemID="{395FF3B7-B484-4B99-9E73-A599C369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7B0BD-D420-42E5-9118-33E1E6F2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5872</Words>
  <Characters>34647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40439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Jana Šrámková</cp:lastModifiedBy>
  <cp:revision>6</cp:revision>
  <cp:lastPrinted>2024-02-26T14:07:00Z</cp:lastPrinted>
  <dcterms:created xsi:type="dcterms:W3CDTF">2024-02-26T13:36:00Z</dcterms:created>
  <dcterms:modified xsi:type="dcterms:W3CDTF">2024-02-29T10:47:00Z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